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214FC" w14:textId="58D03C0C" w:rsidR="004012E6" w:rsidRPr="004012E6" w:rsidRDefault="004012E6" w:rsidP="004012E6">
      <w:pPr>
        <w:widowControl w:val="0"/>
        <w:rPr>
          <w:b/>
          <w:bCs/>
          <w:sz w:val="22"/>
          <w:szCs w:val="22"/>
        </w:rPr>
      </w:pPr>
      <w:r w:rsidRPr="004012E6">
        <w:rPr>
          <w:b/>
          <w:bCs/>
          <w:sz w:val="22"/>
          <w:szCs w:val="22"/>
        </w:rPr>
        <w:t xml:space="preserve">Supplementary </w:t>
      </w:r>
      <w:r>
        <w:rPr>
          <w:b/>
          <w:bCs/>
          <w:sz w:val="22"/>
          <w:szCs w:val="22"/>
        </w:rPr>
        <w:t>File #1</w:t>
      </w:r>
    </w:p>
    <w:p w14:paraId="725BD76B" w14:textId="77777777" w:rsidR="004012E6" w:rsidRPr="004012E6" w:rsidRDefault="004012E6" w:rsidP="004012E6">
      <w:pPr>
        <w:widowControl w:val="0"/>
        <w:rPr>
          <w:sz w:val="22"/>
          <w:szCs w:val="22"/>
        </w:rPr>
      </w:pPr>
    </w:p>
    <w:p w14:paraId="486415D6" w14:textId="332E501D" w:rsidR="004012E6" w:rsidRPr="004012E6" w:rsidRDefault="004012E6" w:rsidP="004012E6">
      <w:pPr>
        <w:widowControl w:val="0"/>
        <w:autoSpaceDE w:val="0"/>
        <w:autoSpaceDN w:val="0"/>
        <w:adjustRightInd w:val="0"/>
        <w:rPr>
          <w:iCs/>
          <w:sz w:val="22"/>
          <w:szCs w:val="22"/>
          <w:u w:val="single"/>
        </w:rPr>
      </w:pPr>
      <w:r w:rsidRPr="004012E6">
        <w:rPr>
          <w:iCs/>
          <w:sz w:val="22"/>
          <w:szCs w:val="22"/>
          <w:u w:val="single"/>
        </w:rPr>
        <w:t>Description of quantitative measures</w:t>
      </w:r>
      <w:r w:rsidR="001F15ED">
        <w:rPr>
          <w:iCs/>
          <w:sz w:val="22"/>
          <w:szCs w:val="22"/>
          <w:u w:val="single"/>
        </w:rPr>
        <w:t xml:space="preserve"> </w:t>
      </w:r>
      <w:r w:rsidRPr="004012E6">
        <w:rPr>
          <w:iCs/>
          <w:sz w:val="22"/>
          <w:szCs w:val="22"/>
          <w:u w:val="single"/>
        </w:rPr>
        <w:t>of reduction</w:t>
      </w:r>
      <w:r w:rsidR="00401AED">
        <w:rPr>
          <w:iCs/>
          <w:sz w:val="22"/>
          <w:szCs w:val="22"/>
          <w:u w:val="single"/>
        </w:rPr>
        <w:t>, as well as associated recording protocols</w:t>
      </w:r>
    </w:p>
    <w:p w14:paraId="42A69739" w14:textId="77777777" w:rsidR="004012E6" w:rsidRPr="004012E6" w:rsidRDefault="004012E6" w:rsidP="004012E6">
      <w:pPr>
        <w:widowControl w:val="0"/>
        <w:autoSpaceDE w:val="0"/>
        <w:autoSpaceDN w:val="0"/>
        <w:adjustRightInd w:val="0"/>
        <w:rPr>
          <w:i/>
          <w:sz w:val="22"/>
          <w:szCs w:val="22"/>
        </w:rPr>
      </w:pPr>
    </w:p>
    <w:p w14:paraId="0C042F71" w14:textId="77777777" w:rsidR="004012E6" w:rsidRPr="004012E6" w:rsidRDefault="004012E6" w:rsidP="004012E6">
      <w:pPr>
        <w:widowControl w:val="0"/>
        <w:autoSpaceDE w:val="0"/>
        <w:autoSpaceDN w:val="0"/>
        <w:adjustRightInd w:val="0"/>
        <w:rPr>
          <w:i/>
          <w:sz w:val="22"/>
          <w:szCs w:val="22"/>
        </w:rPr>
      </w:pPr>
      <w:r w:rsidRPr="004012E6">
        <w:rPr>
          <w:i/>
          <w:sz w:val="22"/>
          <w:szCs w:val="22"/>
        </w:rPr>
        <w:t>Kuhn’s GIUR</w:t>
      </w:r>
    </w:p>
    <w:p w14:paraId="179CAB57" w14:textId="65D1FCB3" w:rsidR="004012E6" w:rsidRPr="004012E6" w:rsidRDefault="004012E6" w:rsidP="004012E6">
      <w:pPr>
        <w:widowControl w:val="0"/>
        <w:autoSpaceDE w:val="0"/>
        <w:autoSpaceDN w:val="0"/>
        <w:adjustRightInd w:val="0"/>
        <w:rPr>
          <w:sz w:val="22"/>
          <w:szCs w:val="22"/>
        </w:rPr>
      </w:pPr>
      <w:r w:rsidRPr="004012E6">
        <w:rPr>
          <w:sz w:val="22"/>
          <w:szCs w:val="22"/>
        </w:rPr>
        <w:t>Kuhn’s (1990) GIUR calculates the extent of marginal retouch a unifacially worked flake (dorsal surface only) has experienced by comparing the height of retouch scars (‘t’) above the ventral surface with the maximum medial thickness of the flake (‘T’). Measurements for both are taken at right angles to the ventral surface at three evenly spaced locations along the longest retouched edge. Following Hiscock and Attenbrow (</w:t>
      </w:r>
      <w:r w:rsidR="00D56B28">
        <w:rPr>
          <w:sz w:val="22"/>
          <w:szCs w:val="22"/>
        </w:rPr>
        <w:t>2003, 2005</w:t>
      </w:r>
      <w:r w:rsidRPr="004012E6">
        <w:rPr>
          <w:sz w:val="22"/>
          <w:szCs w:val="22"/>
        </w:rPr>
        <w:t>), an average Kuhn reduction index</w:t>
      </w:r>
      <w:r w:rsidR="00DA0E87">
        <w:rPr>
          <w:sz w:val="22"/>
          <w:szCs w:val="22"/>
        </w:rPr>
        <w:t xml:space="preserve"> </w:t>
      </w:r>
      <w:r w:rsidRPr="004012E6">
        <w:rPr>
          <w:sz w:val="22"/>
          <w:szCs w:val="22"/>
        </w:rPr>
        <w:t>was calculated as (t</w:t>
      </w:r>
      <w:r w:rsidRPr="004012E6">
        <w:rPr>
          <w:sz w:val="22"/>
          <w:szCs w:val="22"/>
          <w:vertAlign w:val="subscript"/>
        </w:rPr>
        <w:t>3</w:t>
      </w:r>
      <w:r w:rsidRPr="004012E6">
        <w:rPr>
          <w:sz w:val="22"/>
          <w:szCs w:val="22"/>
        </w:rPr>
        <w:t>/T</w:t>
      </w:r>
      <w:r w:rsidRPr="004012E6">
        <w:rPr>
          <w:sz w:val="22"/>
          <w:szCs w:val="22"/>
          <w:vertAlign w:val="subscript"/>
        </w:rPr>
        <w:t xml:space="preserve">3 </w:t>
      </w:r>
      <w:r w:rsidRPr="004012E6">
        <w:rPr>
          <w:sz w:val="22"/>
          <w:szCs w:val="22"/>
        </w:rPr>
        <w:t>+ t</w:t>
      </w:r>
      <w:r w:rsidRPr="004012E6">
        <w:rPr>
          <w:sz w:val="22"/>
          <w:szCs w:val="22"/>
          <w:vertAlign w:val="subscript"/>
        </w:rPr>
        <w:t>2</w:t>
      </w:r>
      <w:r w:rsidRPr="004012E6">
        <w:rPr>
          <w:sz w:val="22"/>
          <w:szCs w:val="22"/>
        </w:rPr>
        <w:t>/T</w:t>
      </w:r>
      <w:r w:rsidRPr="004012E6">
        <w:rPr>
          <w:sz w:val="22"/>
          <w:szCs w:val="22"/>
          <w:vertAlign w:val="subscript"/>
        </w:rPr>
        <w:t>2</w:t>
      </w:r>
      <w:r w:rsidRPr="004012E6">
        <w:rPr>
          <w:sz w:val="22"/>
          <w:szCs w:val="22"/>
        </w:rPr>
        <w:t xml:space="preserve"> + t</w:t>
      </w:r>
      <w:r w:rsidRPr="004012E6">
        <w:rPr>
          <w:sz w:val="22"/>
          <w:szCs w:val="22"/>
          <w:vertAlign w:val="subscript"/>
        </w:rPr>
        <w:t>1</w:t>
      </w:r>
      <w:r w:rsidRPr="004012E6">
        <w:rPr>
          <w:sz w:val="22"/>
          <w:szCs w:val="22"/>
        </w:rPr>
        <w:t>/T</w:t>
      </w:r>
      <w:r w:rsidRPr="004012E6">
        <w:rPr>
          <w:sz w:val="22"/>
          <w:szCs w:val="22"/>
          <w:vertAlign w:val="subscript"/>
        </w:rPr>
        <w:t>1</w:t>
      </w:r>
      <w:r w:rsidRPr="004012E6">
        <w:rPr>
          <w:sz w:val="22"/>
          <w:szCs w:val="22"/>
        </w:rPr>
        <w:t xml:space="preserve">)/3 resulting in a value between 0 and 1. The former represents an edge with no retouch at all whilst the latter denotes an edge retouched to the maximum thickness of the flake. </w:t>
      </w:r>
    </w:p>
    <w:p w14:paraId="7065DF4D" w14:textId="77777777" w:rsidR="004012E6" w:rsidRPr="004012E6" w:rsidRDefault="004012E6" w:rsidP="004012E6">
      <w:pPr>
        <w:keepNext/>
        <w:widowControl w:val="0"/>
        <w:autoSpaceDE w:val="0"/>
        <w:autoSpaceDN w:val="0"/>
        <w:adjustRightInd w:val="0"/>
        <w:rPr>
          <w:sz w:val="22"/>
          <w:szCs w:val="22"/>
          <w:lang w:bidi="en-US"/>
        </w:rPr>
      </w:pPr>
    </w:p>
    <w:p w14:paraId="0F347DBE" w14:textId="77777777" w:rsidR="004012E6" w:rsidRPr="004012E6" w:rsidRDefault="004012E6" w:rsidP="004012E6">
      <w:pPr>
        <w:widowControl w:val="0"/>
        <w:autoSpaceDE w:val="0"/>
        <w:autoSpaceDN w:val="0"/>
        <w:adjustRightInd w:val="0"/>
        <w:rPr>
          <w:i/>
          <w:sz w:val="22"/>
          <w:szCs w:val="22"/>
        </w:rPr>
      </w:pPr>
      <w:r w:rsidRPr="004012E6">
        <w:rPr>
          <w:i/>
          <w:sz w:val="22"/>
          <w:szCs w:val="22"/>
        </w:rPr>
        <w:t>Index of retouch curvature</w:t>
      </w:r>
    </w:p>
    <w:p w14:paraId="6BC8A3BC" w14:textId="1BD0D119" w:rsidR="004012E6" w:rsidRPr="004012E6" w:rsidRDefault="004012E6" w:rsidP="004012E6">
      <w:pPr>
        <w:widowControl w:val="0"/>
        <w:autoSpaceDE w:val="0"/>
        <w:autoSpaceDN w:val="0"/>
        <w:adjustRightInd w:val="0"/>
        <w:rPr>
          <w:sz w:val="22"/>
          <w:szCs w:val="22"/>
        </w:rPr>
      </w:pPr>
      <w:r w:rsidRPr="004012E6">
        <w:rPr>
          <w:sz w:val="22"/>
          <w:szCs w:val="22"/>
        </w:rPr>
        <w:t>The index of retouch curvature measures the degree of convexity of the retouched edge. It is based on the premise that as reduction intensity increases retouch extends to adjacent margins of the flake resulting in an overall increased curvature of the retouched edge.  Edge curvature was calculated, following Hiscock and Attenbrow (</w:t>
      </w:r>
      <w:r w:rsidR="00E92ACD">
        <w:rPr>
          <w:sz w:val="22"/>
          <w:szCs w:val="22"/>
        </w:rPr>
        <w:t xml:space="preserve">2002, </w:t>
      </w:r>
      <w:r w:rsidR="00D56B28">
        <w:rPr>
          <w:sz w:val="22"/>
          <w:szCs w:val="22"/>
        </w:rPr>
        <w:t>2003)</w:t>
      </w:r>
      <w:r w:rsidRPr="004012E6">
        <w:rPr>
          <w:sz w:val="22"/>
          <w:szCs w:val="22"/>
        </w:rPr>
        <w:t>,</w:t>
      </w:r>
      <w:r w:rsidR="00D56B28">
        <w:rPr>
          <w:sz w:val="22"/>
          <w:szCs w:val="22"/>
        </w:rPr>
        <w:t xml:space="preserve"> </w:t>
      </w:r>
      <w:r w:rsidRPr="004012E6">
        <w:rPr>
          <w:sz w:val="22"/>
          <w:szCs w:val="22"/>
        </w:rPr>
        <w:t>by dividing the depth of retouch on the longest retouched edge by its maximum length.</w:t>
      </w:r>
    </w:p>
    <w:p w14:paraId="0B3E489A" w14:textId="77777777" w:rsidR="004012E6" w:rsidRPr="004012E6" w:rsidRDefault="004012E6" w:rsidP="004012E6">
      <w:pPr>
        <w:widowControl w:val="0"/>
        <w:rPr>
          <w:i/>
          <w:sz w:val="22"/>
          <w:szCs w:val="22"/>
        </w:rPr>
      </w:pPr>
    </w:p>
    <w:p w14:paraId="6F740599" w14:textId="77777777" w:rsidR="004012E6" w:rsidRPr="004012E6" w:rsidRDefault="004012E6" w:rsidP="004012E6">
      <w:pPr>
        <w:widowControl w:val="0"/>
        <w:rPr>
          <w:i/>
          <w:sz w:val="22"/>
          <w:szCs w:val="22"/>
        </w:rPr>
      </w:pPr>
      <w:r w:rsidRPr="004012E6">
        <w:rPr>
          <w:i/>
          <w:sz w:val="22"/>
          <w:szCs w:val="22"/>
        </w:rPr>
        <w:t xml:space="preserve">Perimeter of retouch </w:t>
      </w:r>
    </w:p>
    <w:p w14:paraId="5107ADA0" w14:textId="565F1C53" w:rsidR="004012E6" w:rsidRPr="004012E6" w:rsidRDefault="004012E6" w:rsidP="004012E6">
      <w:pPr>
        <w:widowControl w:val="0"/>
        <w:autoSpaceDE w:val="0"/>
        <w:autoSpaceDN w:val="0"/>
        <w:adjustRightInd w:val="0"/>
        <w:rPr>
          <w:sz w:val="22"/>
          <w:szCs w:val="22"/>
        </w:rPr>
      </w:pPr>
      <w:r w:rsidRPr="004012E6">
        <w:rPr>
          <w:sz w:val="22"/>
          <w:szCs w:val="22"/>
        </w:rPr>
        <w:t>Calculation of the perimeter of retouch provides a measure of the proportion of the available edge perimeter of a flake that has been modified by retouch. This value may be expected to increase as existing retouched edges are resharpened and new areas of retouch are added to the blank.  Perimeter of retouch was determined, following methods outlined in Eren et al. (200</w:t>
      </w:r>
      <w:r w:rsidR="00BA74BE">
        <w:rPr>
          <w:sz w:val="22"/>
          <w:szCs w:val="22"/>
        </w:rPr>
        <w:t>8</w:t>
      </w:r>
      <w:r w:rsidRPr="004012E6">
        <w:rPr>
          <w:sz w:val="22"/>
          <w:szCs w:val="22"/>
        </w:rPr>
        <w:t>), from scaled photographs and digitized outlines of scrapers created using Adobe Photoshop and Adobe Illustrator’s Auto-Trace tool, respectively.</w:t>
      </w:r>
    </w:p>
    <w:p w14:paraId="2E9CB475" w14:textId="77777777" w:rsidR="004012E6" w:rsidRPr="004012E6" w:rsidRDefault="004012E6" w:rsidP="004012E6">
      <w:pPr>
        <w:widowControl w:val="0"/>
        <w:autoSpaceDE w:val="0"/>
        <w:autoSpaceDN w:val="0"/>
        <w:adjustRightInd w:val="0"/>
        <w:rPr>
          <w:sz w:val="22"/>
          <w:szCs w:val="22"/>
        </w:rPr>
      </w:pPr>
    </w:p>
    <w:p w14:paraId="4CC3C478" w14:textId="77777777" w:rsidR="004012E6" w:rsidRPr="004012E6" w:rsidRDefault="004012E6" w:rsidP="004012E6">
      <w:pPr>
        <w:widowControl w:val="0"/>
        <w:autoSpaceDE w:val="0"/>
        <w:autoSpaceDN w:val="0"/>
        <w:adjustRightInd w:val="0"/>
        <w:rPr>
          <w:i/>
          <w:sz w:val="22"/>
          <w:szCs w:val="22"/>
        </w:rPr>
      </w:pPr>
      <w:r w:rsidRPr="004012E6">
        <w:rPr>
          <w:i/>
          <w:sz w:val="22"/>
          <w:szCs w:val="22"/>
        </w:rPr>
        <w:t>Retouched edge angle</w:t>
      </w:r>
    </w:p>
    <w:p w14:paraId="0D5512E1" w14:textId="77777777" w:rsidR="004012E6" w:rsidRPr="004012E6" w:rsidRDefault="004012E6" w:rsidP="004012E6">
      <w:pPr>
        <w:widowControl w:val="0"/>
        <w:autoSpaceDE w:val="0"/>
        <w:autoSpaceDN w:val="0"/>
        <w:adjustRightInd w:val="0"/>
        <w:rPr>
          <w:sz w:val="22"/>
          <w:szCs w:val="22"/>
        </w:rPr>
      </w:pPr>
      <w:r w:rsidRPr="004012E6">
        <w:rPr>
          <w:sz w:val="22"/>
          <w:szCs w:val="22"/>
        </w:rPr>
        <w:t xml:space="preserve">It has been demonstrated that a relationship exists between the amount of retouch a flake-tool has undergone and the angle of the retouched edge. As reduction intensifies and the retouched margin moves towards to the thickest (often central) portion of the flake this will frequently result in an overall increase in retouched edge angle. In this study, edge angle was taken by hand at the same three locations as the GIUR using a goniometer. </w:t>
      </w:r>
    </w:p>
    <w:p w14:paraId="13C1E8B4" w14:textId="77777777" w:rsidR="004012E6" w:rsidRPr="004012E6" w:rsidRDefault="004012E6" w:rsidP="004012E6">
      <w:pPr>
        <w:widowControl w:val="0"/>
        <w:autoSpaceDE w:val="0"/>
        <w:autoSpaceDN w:val="0"/>
        <w:adjustRightInd w:val="0"/>
        <w:rPr>
          <w:sz w:val="22"/>
          <w:szCs w:val="22"/>
        </w:rPr>
      </w:pPr>
    </w:p>
    <w:p w14:paraId="11090641" w14:textId="77777777" w:rsidR="004012E6" w:rsidRPr="004012E6" w:rsidRDefault="004012E6" w:rsidP="004012E6">
      <w:pPr>
        <w:widowControl w:val="0"/>
        <w:autoSpaceDE w:val="0"/>
        <w:autoSpaceDN w:val="0"/>
        <w:adjustRightInd w:val="0"/>
        <w:rPr>
          <w:i/>
          <w:sz w:val="22"/>
          <w:szCs w:val="22"/>
        </w:rPr>
      </w:pPr>
      <w:r w:rsidRPr="004012E6">
        <w:rPr>
          <w:i/>
          <w:sz w:val="22"/>
          <w:szCs w:val="22"/>
        </w:rPr>
        <w:t>Retouched zone index</w:t>
      </w:r>
    </w:p>
    <w:p w14:paraId="22419C52" w14:textId="5D1186B4" w:rsidR="004012E6" w:rsidRPr="004012E6" w:rsidRDefault="004012E6" w:rsidP="004012E6">
      <w:pPr>
        <w:widowControl w:val="0"/>
        <w:autoSpaceDE w:val="0"/>
        <w:autoSpaceDN w:val="0"/>
        <w:adjustRightInd w:val="0"/>
        <w:rPr>
          <w:sz w:val="22"/>
          <w:szCs w:val="22"/>
        </w:rPr>
      </w:pPr>
      <w:r w:rsidRPr="004012E6">
        <w:rPr>
          <w:sz w:val="22"/>
          <w:szCs w:val="22"/>
        </w:rPr>
        <w:t xml:space="preserve">The retouched zone index is a simple but effective measure based on the observation that as reduction intensity increases so too does the length of the retouched edge, leading to modification of new or adjacent areas of the flake. Thus, the total number of areas of a flake modified by retouch could be expected to increase as reduction progresses. </w:t>
      </w:r>
      <w:r w:rsidR="000C2FDC">
        <w:rPr>
          <w:sz w:val="22"/>
          <w:szCs w:val="22"/>
        </w:rPr>
        <w:t>Following Hiscock and Attenbrow (2005</w:t>
      </w:r>
      <w:r w:rsidR="00DF5AAA">
        <w:rPr>
          <w:sz w:val="22"/>
          <w:szCs w:val="22"/>
        </w:rPr>
        <w:t>: 59</w:t>
      </w:r>
      <w:r w:rsidR="000C2FDC">
        <w:rPr>
          <w:sz w:val="22"/>
          <w:szCs w:val="22"/>
        </w:rPr>
        <w:t>)</w:t>
      </w:r>
      <w:r w:rsidRPr="004012E6">
        <w:rPr>
          <w:sz w:val="22"/>
          <w:szCs w:val="22"/>
        </w:rPr>
        <w:t>, the dorsal surface of each retouched flake was divided equally into eight segments, or zones, and the presence or absence of retouch in each zone recorded.</w:t>
      </w:r>
    </w:p>
    <w:p w14:paraId="4A16ABD0" w14:textId="77777777" w:rsidR="004012E6" w:rsidRPr="004012E6" w:rsidRDefault="004012E6" w:rsidP="004012E6">
      <w:pPr>
        <w:widowControl w:val="0"/>
        <w:autoSpaceDE w:val="0"/>
        <w:autoSpaceDN w:val="0"/>
        <w:adjustRightInd w:val="0"/>
        <w:rPr>
          <w:sz w:val="22"/>
          <w:szCs w:val="22"/>
        </w:rPr>
      </w:pPr>
    </w:p>
    <w:p w14:paraId="62CA22FA" w14:textId="77777777" w:rsidR="004012E6" w:rsidRPr="004012E6" w:rsidRDefault="004012E6" w:rsidP="004012E6">
      <w:pPr>
        <w:widowControl w:val="0"/>
        <w:autoSpaceDE w:val="0"/>
        <w:autoSpaceDN w:val="0"/>
        <w:adjustRightInd w:val="0"/>
        <w:rPr>
          <w:i/>
          <w:sz w:val="22"/>
          <w:szCs w:val="22"/>
        </w:rPr>
      </w:pPr>
      <w:r w:rsidRPr="004012E6">
        <w:rPr>
          <w:i/>
          <w:sz w:val="22"/>
          <w:szCs w:val="22"/>
        </w:rPr>
        <w:t>Retouch termination type</w:t>
      </w:r>
    </w:p>
    <w:p w14:paraId="7FACB78B" w14:textId="19CE6D87" w:rsidR="004012E6" w:rsidRPr="004012E6" w:rsidRDefault="004012E6" w:rsidP="004012E6">
      <w:pPr>
        <w:widowControl w:val="0"/>
        <w:autoSpaceDE w:val="0"/>
        <w:autoSpaceDN w:val="0"/>
        <w:adjustRightInd w:val="0"/>
        <w:rPr>
          <w:sz w:val="22"/>
          <w:szCs w:val="22"/>
        </w:rPr>
      </w:pPr>
      <w:r w:rsidRPr="004012E6">
        <w:rPr>
          <w:sz w:val="22"/>
          <w:szCs w:val="22"/>
        </w:rPr>
        <w:t>Knapping replications and experiments conducted under controlled conditions have shown that step- and hinge-terminated fractures intensify as external platform angles (EPA) on an artefact increase (</w:t>
      </w:r>
      <w:r w:rsidR="0058205B" w:rsidRPr="0058205B">
        <w:rPr>
          <w:sz w:val="22"/>
          <w:szCs w:val="22"/>
        </w:rPr>
        <w:t>Cotterell &amp; Kamminga 1987; Macgregor 2005).</w:t>
      </w:r>
      <w:r w:rsidR="0058205B">
        <w:rPr>
          <w:sz w:val="22"/>
          <w:szCs w:val="22"/>
        </w:rPr>
        <w:t xml:space="preserve"> </w:t>
      </w:r>
      <w:r w:rsidRPr="004012E6">
        <w:rPr>
          <w:sz w:val="22"/>
          <w:szCs w:val="22"/>
        </w:rPr>
        <w:t>Thus, the number of aberrant terminations may be expected to rise as the area of retouch encroaches upon the thickest part of the blank, producing higher edge angles.  Step-terminations are also often common during the removal of very small flakes, such as those produced during when unifacially retouching the edges of flakes (</w:t>
      </w:r>
      <w:r w:rsidR="0058205B" w:rsidRPr="0058205B">
        <w:rPr>
          <w:sz w:val="22"/>
          <w:szCs w:val="22"/>
        </w:rPr>
        <w:t>Cotterell &amp; Kamminga 1987</w:t>
      </w:r>
      <w:r w:rsidRPr="004012E6">
        <w:rPr>
          <w:sz w:val="22"/>
          <w:szCs w:val="22"/>
        </w:rPr>
        <w:t xml:space="preserve">). The frequency of aberrant terminations on individual scrapers in our sample was assessed subjectively, with each scraper assigned to one of four ordinal aberrant termination categories: 1 = None, 2 = Light, 3 = Moderate and 4 = Heavy.  </w:t>
      </w:r>
    </w:p>
    <w:p w14:paraId="25CF25E0" w14:textId="77777777" w:rsidR="00E733F7" w:rsidRDefault="00E733F7"/>
    <w:p w14:paraId="7C65F3B9" w14:textId="77777777" w:rsidR="00465719" w:rsidRDefault="00465719">
      <w:pPr>
        <w:rPr>
          <w:b/>
          <w:bCs/>
          <w:sz w:val="22"/>
          <w:szCs w:val="22"/>
        </w:rPr>
      </w:pPr>
    </w:p>
    <w:p w14:paraId="143A85C4" w14:textId="77777777" w:rsidR="004369F3" w:rsidRDefault="004369F3" w:rsidP="004369F3">
      <w:pPr>
        <w:widowControl w:val="0"/>
      </w:pPr>
      <w:r w:rsidRPr="004369F3">
        <w:lastRenderedPageBreak/>
        <w:t>Table S1. Descriptive statistics for size and shape of scrapers examined in this study</w:t>
      </w:r>
    </w:p>
    <w:p w14:paraId="242A60C2" w14:textId="77777777" w:rsidR="004369F3" w:rsidRPr="004369F3" w:rsidRDefault="004369F3" w:rsidP="004369F3">
      <w:pPr>
        <w:widowControl w:val="0"/>
        <w:rPr>
          <w:b/>
          <w:sz w:val="22"/>
          <w:szCs w:val="22"/>
        </w:rPr>
      </w:pPr>
    </w:p>
    <w:tbl>
      <w:tblPr>
        <w:tblW w:w="5390" w:type="pct"/>
        <w:tblLook w:val="04A0" w:firstRow="1" w:lastRow="0" w:firstColumn="1" w:lastColumn="0" w:noHBand="0" w:noVBand="1"/>
      </w:tblPr>
      <w:tblGrid>
        <w:gridCol w:w="2112"/>
        <w:gridCol w:w="682"/>
        <w:gridCol w:w="821"/>
        <w:gridCol w:w="749"/>
        <w:gridCol w:w="938"/>
        <w:gridCol w:w="711"/>
        <w:gridCol w:w="821"/>
        <w:gridCol w:w="601"/>
        <w:gridCol w:w="2295"/>
      </w:tblGrid>
      <w:tr w:rsidR="004369F3" w:rsidRPr="005B7F6C" w14:paraId="4A9CCB1A" w14:textId="77777777" w:rsidTr="00704350">
        <w:tc>
          <w:tcPr>
            <w:tcW w:w="1088" w:type="pct"/>
            <w:tcBorders>
              <w:top w:val="single" w:sz="4" w:space="0" w:color="auto"/>
              <w:bottom w:val="single" w:sz="4" w:space="0" w:color="auto"/>
            </w:tcBorders>
            <w:vAlign w:val="bottom"/>
          </w:tcPr>
          <w:p w14:paraId="08CEC0EE" w14:textId="77777777" w:rsidR="004369F3" w:rsidRPr="005B7F6C" w:rsidRDefault="004369F3" w:rsidP="00B76511">
            <w:pPr>
              <w:pStyle w:val="TableNormal1"/>
              <w:rPr>
                <w:rFonts w:ascii="Times New Roman" w:hAnsi="Times New Roman" w:cs="Times New Roman"/>
                <w:b/>
                <w:sz w:val="22"/>
                <w:szCs w:val="22"/>
              </w:rPr>
            </w:pPr>
            <w:r w:rsidRPr="005B7F6C">
              <w:rPr>
                <w:rFonts w:ascii="Times New Roman" w:eastAsia="Times New Roman" w:hAnsi="Times New Roman" w:cs="Times New Roman"/>
                <w:b/>
                <w:bCs/>
                <w:color w:val="000000"/>
                <w:sz w:val="22"/>
                <w:szCs w:val="22"/>
                <w:lang w:val="en-AU" w:eastAsia="en-AU"/>
              </w:rPr>
              <w:t>Attribute</w:t>
            </w:r>
          </w:p>
        </w:tc>
        <w:tc>
          <w:tcPr>
            <w:tcW w:w="353" w:type="pct"/>
            <w:tcBorders>
              <w:top w:val="single" w:sz="4" w:space="0" w:color="auto"/>
              <w:bottom w:val="single" w:sz="4" w:space="0" w:color="auto"/>
            </w:tcBorders>
            <w:vAlign w:val="bottom"/>
          </w:tcPr>
          <w:p w14:paraId="7ECC24C0" w14:textId="77777777" w:rsidR="004369F3" w:rsidRPr="005B7F6C" w:rsidRDefault="004369F3" w:rsidP="00B76511">
            <w:pPr>
              <w:pStyle w:val="TableNormal1"/>
              <w:rPr>
                <w:rFonts w:ascii="Times New Roman" w:hAnsi="Times New Roman" w:cs="Times New Roman"/>
                <w:b/>
                <w:sz w:val="22"/>
                <w:szCs w:val="22"/>
              </w:rPr>
            </w:pPr>
            <w:r w:rsidRPr="005B7F6C">
              <w:rPr>
                <w:rFonts w:ascii="Times New Roman" w:eastAsia="Times New Roman" w:hAnsi="Times New Roman" w:cs="Times New Roman"/>
                <w:b/>
                <w:bCs/>
                <w:color w:val="000000"/>
                <w:sz w:val="22"/>
                <w:szCs w:val="22"/>
                <w:lang w:val="en-AU" w:eastAsia="en-AU"/>
              </w:rPr>
              <w:t>N</w:t>
            </w:r>
          </w:p>
        </w:tc>
        <w:tc>
          <w:tcPr>
            <w:tcW w:w="423" w:type="pct"/>
            <w:tcBorders>
              <w:top w:val="single" w:sz="4" w:space="0" w:color="auto"/>
              <w:bottom w:val="single" w:sz="4" w:space="0" w:color="auto"/>
            </w:tcBorders>
            <w:vAlign w:val="bottom"/>
          </w:tcPr>
          <w:p w14:paraId="78AAE616" w14:textId="77777777" w:rsidR="004369F3" w:rsidRPr="005B7F6C" w:rsidRDefault="004369F3" w:rsidP="00B76511">
            <w:pPr>
              <w:pStyle w:val="TableNormal1"/>
              <w:rPr>
                <w:rFonts w:ascii="Times New Roman" w:hAnsi="Times New Roman" w:cs="Times New Roman"/>
                <w:b/>
                <w:sz w:val="22"/>
                <w:szCs w:val="22"/>
              </w:rPr>
            </w:pPr>
            <w:r w:rsidRPr="005B7F6C">
              <w:rPr>
                <w:rFonts w:ascii="Times New Roman" w:eastAsia="Times New Roman" w:hAnsi="Times New Roman" w:cs="Times New Roman"/>
                <w:b/>
                <w:bCs/>
                <w:color w:val="000000"/>
                <w:sz w:val="22"/>
                <w:szCs w:val="22"/>
                <w:lang w:val="en-AU" w:eastAsia="en-AU"/>
              </w:rPr>
              <w:t>Mean</w:t>
            </w:r>
          </w:p>
        </w:tc>
        <w:tc>
          <w:tcPr>
            <w:tcW w:w="389" w:type="pct"/>
            <w:tcBorders>
              <w:top w:val="single" w:sz="4" w:space="0" w:color="auto"/>
              <w:bottom w:val="single" w:sz="4" w:space="0" w:color="auto"/>
            </w:tcBorders>
            <w:vAlign w:val="bottom"/>
          </w:tcPr>
          <w:p w14:paraId="4F49E270" w14:textId="77777777" w:rsidR="004369F3" w:rsidRPr="005B7F6C" w:rsidRDefault="004369F3" w:rsidP="00B76511">
            <w:pPr>
              <w:pStyle w:val="TableNormal1"/>
              <w:rPr>
                <w:rFonts w:ascii="Times New Roman" w:hAnsi="Times New Roman" w:cs="Times New Roman"/>
                <w:b/>
                <w:sz w:val="22"/>
                <w:szCs w:val="22"/>
              </w:rPr>
            </w:pPr>
            <w:r w:rsidRPr="005B7F6C">
              <w:rPr>
                <w:rFonts w:ascii="Times New Roman" w:eastAsia="Times New Roman" w:hAnsi="Times New Roman" w:cs="Times New Roman"/>
                <w:b/>
                <w:bCs/>
                <w:color w:val="000000"/>
                <w:sz w:val="22"/>
                <w:szCs w:val="22"/>
                <w:lang w:val="en-AU" w:eastAsia="en-AU"/>
              </w:rPr>
              <w:t>Stdev</w:t>
            </w:r>
          </w:p>
        </w:tc>
        <w:tc>
          <w:tcPr>
            <w:tcW w:w="463" w:type="pct"/>
            <w:tcBorders>
              <w:top w:val="single" w:sz="4" w:space="0" w:color="auto"/>
              <w:bottom w:val="single" w:sz="4" w:space="0" w:color="auto"/>
            </w:tcBorders>
            <w:vAlign w:val="bottom"/>
          </w:tcPr>
          <w:p w14:paraId="6080B3AF" w14:textId="77777777" w:rsidR="004369F3" w:rsidRPr="005B7F6C" w:rsidRDefault="004369F3" w:rsidP="00B76511">
            <w:pPr>
              <w:pStyle w:val="TableNormal1"/>
              <w:rPr>
                <w:rFonts w:ascii="Times New Roman" w:hAnsi="Times New Roman" w:cs="Times New Roman"/>
                <w:b/>
                <w:sz w:val="22"/>
                <w:szCs w:val="22"/>
              </w:rPr>
            </w:pPr>
            <w:r w:rsidRPr="005B7F6C">
              <w:rPr>
                <w:rFonts w:ascii="Times New Roman" w:eastAsia="Times New Roman" w:hAnsi="Times New Roman" w:cs="Times New Roman"/>
                <w:b/>
                <w:bCs/>
                <w:color w:val="000000"/>
                <w:sz w:val="22"/>
                <w:szCs w:val="22"/>
                <w:lang w:val="en-AU" w:eastAsia="en-AU"/>
              </w:rPr>
              <w:t>Median</w:t>
            </w:r>
          </w:p>
        </w:tc>
        <w:tc>
          <w:tcPr>
            <w:tcW w:w="367" w:type="pct"/>
            <w:tcBorders>
              <w:top w:val="single" w:sz="4" w:space="0" w:color="auto"/>
              <w:bottom w:val="single" w:sz="4" w:space="0" w:color="auto"/>
            </w:tcBorders>
            <w:vAlign w:val="bottom"/>
          </w:tcPr>
          <w:p w14:paraId="447A27FA" w14:textId="77777777" w:rsidR="004369F3" w:rsidRPr="005B7F6C" w:rsidRDefault="004369F3" w:rsidP="00B76511">
            <w:pPr>
              <w:pStyle w:val="TableNormal1"/>
              <w:rPr>
                <w:rFonts w:ascii="Times New Roman" w:hAnsi="Times New Roman" w:cs="Times New Roman"/>
                <w:b/>
                <w:sz w:val="22"/>
                <w:szCs w:val="22"/>
              </w:rPr>
            </w:pPr>
            <w:r w:rsidRPr="005B7F6C">
              <w:rPr>
                <w:rFonts w:ascii="Times New Roman" w:eastAsia="Times New Roman" w:hAnsi="Times New Roman" w:cs="Times New Roman"/>
                <w:b/>
                <w:bCs/>
                <w:color w:val="000000"/>
                <w:sz w:val="22"/>
                <w:szCs w:val="22"/>
                <w:lang w:val="en-AU" w:eastAsia="en-AU"/>
              </w:rPr>
              <w:t>Min</w:t>
            </w:r>
          </w:p>
        </w:tc>
        <w:tc>
          <w:tcPr>
            <w:tcW w:w="423" w:type="pct"/>
            <w:tcBorders>
              <w:top w:val="single" w:sz="4" w:space="0" w:color="auto"/>
              <w:bottom w:val="single" w:sz="4" w:space="0" w:color="auto"/>
            </w:tcBorders>
            <w:vAlign w:val="bottom"/>
          </w:tcPr>
          <w:p w14:paraId="1D5C6EC6" w14:textId="77777777" w:rsidR="004369F3" w:rsidRPr="005B7F6C" w:rsidRDefault="004369F3" w:rsidP="00B76511">
            <w:pPr>
              <w:pStyle w:val="TableNormal1"/>
              <w:rPr>
                <w:rFonts w:ascii="Times New Roman" w:hAnsi="Times New Roman" w:cs="Times New Roman"/>
                <w:b/>
                <w:sz w:val="22"/>
                <w:szCs w:val="22"/>
              </w:rPr>
            </w:pPr>
            <w:r w:rsidRPr="005B7F6C">
              <w:rPr>
                <w:rFonts w:ascii="Times New Roman" w:eastAsia="Times New Roman" w:hAnsi="Times New Roman" w:cs="Times New Roman"/>
                <w:b/>
                <w:bCs/>
                <w:color w:val="000000"/>
                <w:sz w:val="22"/>
                <w:szCs w:val="22"/>
                <w:lang w:val="en-AU" w:eastAsia="en-AU"/>
              </w:rPr>
              <w:t>Max</w:t>
            </w:r>
          </w:p>
        </w:tc>
        <w:tc>
          <w:tcPr>
            <w:tcW w:w="310" w:type="pct"/>
            <w:tcBorders>
              <w:top w:val="single" w:sz="4" w:space="0" w:color="auto"/>
              <w:bottom w:val="single" w:sz="4" w:space="0" w:color="auto"/>
            </w:tcBorders>
            <w:vAlign w:val="bottom"/>
          </w:tcPr>
          <w:p w14:paraId="7E126A4F" w14:textId="77777777" w:rsidR="004369F3" w:rsidRPr="005B7F6C" w:rsidRDefault="004369F3" w:rsidP="00B76511">
            <w:pPr>
              <w:pStyle w:val="TableNormal1"/>
              <w:rPr>
                <w:rFonts w:ascii="Times New Roman" w:hAnsi="Times New Roman" w:cs="Times New Roman"/>
                <w:b/>
                <w:sz w:val="22"/>
                <w:szCs w:val="22"/>
              </w:rPr>
            </w:pPr>
            <w:r w:rsidRPr="005B7F6C">
              <w:rPr>
                <w:rFonts w:ascii="Times New Roman" w:eastAsia="Times New Roman" w:hAnsi="Times New Roman" w:cs="Times New Roman"/>
                <w:b/>
                <w:bCs/>
                <w:color w:val="000000"/>
                <w:sz w:val="22"/>
                <w:szCs w:val="22"/>
                <w:lang w:val="en-AU" w:eastAsia="en-AU"/>
              </w:rPr>
              <w:t>CV</w:t>
            </w:r>
          </w:p>
        </w:tc>
        <w:tc>
          <w:tcPr>
            <w:tcW w:w="1184" w:type="pct"/>
            <w:tcBorders>
              <w:top w:val="single" w:sz="4" w:space="0" w:color="auto"/>
              <w:bottom w:val="single" w:sz="4" w:space="0" w:color="auto"/>
            </w:tcBorders>
            <w:vAlign w:val="bottom"/>
          </w:tcPr>
          <w:p w14:paraId="23854460" w14:textId="77777777" w:rsidR="004369F3" w:rsidRPr="005B7F6C" w:rsidRDefault="004369F3" w:rsidP="00B76511">
            <w:pPr>
              <w:pStyle w:val="TableNormal1"/>
              <w:rPr>
                <w:rFonts w:ascii="Times New Roman" w:hAnsi="Times New Roman" w:cs="Times New Roman"/>
                <w:b/>
                <w:sz w:val="22"/>
                <w:szCs w:val="22"/>
              </w:rPr>
            </w:pPr>
            <w:r w:rsidRPr="005B7F6C">
              <w:rPr>
                <w:rFonts w:ascii="Times New Roman" w:eastAsia="Times New Roman" w:hAnsi="Times New Roman" w:cs="Times New Roman"/>
                <w:b/>
                <w:bCs/>
                <w:color w:val="000000"/>
                <w:sz w:val="22"/>
                <w:szCs w:val="22"/>
                <w:lang w:val="en-AU" w:eastAsia="en-AU"/>
              </w:rPr>
              <w:t>Normally distributed?</w:t>
            </w:r>
          </w:p>
        </w:tc>
      </w:tr>
      <w:tr w:rsidR="004369F3" w:rsidRPr="005B7F6C" w14:paraId="1986DEBD" w14:textId="77777777" w:rsidTr="00704350">
        <w:tc>
          <w:tcPr>
            <w:tcW w:w="1088" w:type="pct"/>
            <w:tcBorders>
              <w:top w:val="single" w:sz="4" w:space="0" w:color="auto"/>
            </w:tcBorders>
            <w:vAlign w:val="bottom"/>
          </w:tcPr>
          <w:p w14:paraId="7C286F12"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Max Length (mm)</w:t>
            </w:r>
          </w:p>
        </w:tc>
        <w:tc>
          <w:tcPr>
            <w:tcW w:w="353" w:type="pct"/>
            <w:tcBorders>
              <w:top w:val="single" w:sz="4" w:space="0" w:color="auto"/>
            </w:tcBorders>
            <w:vAlign w:val="bottom"/>
          </w:tcPr>
          <w:p w14:paraId="363A0272"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175</w:t>
            </w:r>
          </w:p>
        </w:tc>
        <w:tc>
          <w:tcPr>
            <w:tcW w:w="423" w:type="pct"/>
            <w:tcBorders>
              <w:top w:val="single" w:sz="4" w:space="0" w:color="auto"/>
            </w:tcBorders>
            <w:vAlign w:val="bottom"/>
          </w:tcPr>
          <w:p w14:paraId="6A7CA175"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42.6</w:t>
            </w:r>
          </w:p>
        </w:tc>
        <w:tc>
          <w:tcPr>
            <w:tcW w:w="389" w:type="pct"/>
            <w:tcBorders>
              <w:top w:val="single" w:sz="4" w:space="0" w:color="auto"/>
            </w:tcBorders>
            <w:vAlign w:val="bottom"/>
          </w:tcPr>
          <w:p w14:paraId="4A4B01BC"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9.2</w:t>
            </w:r>
          </w:p>
        </w:tc>
        <w:tc>
          <w:tcPr>
            <w:tcW w:w="463" w:type="pct"/>
            <w:tcBorders>
              <w:top w:val="single" w:sz="4" w:space="0" w:color="auto"/>
            </w:tcBorders>
            <w:vAlign w:val="bottom"/>
          </w:tcPr>
          <w:p w14:paraId="3A8E6948"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41.2</w:t>
            </w:r>
          </w:p>
        </w:tc>
        <w:tc>
          <w:tcPr>
            <w:tcW w:w="367" w:type="pct"/>
            <w:tcBorders>
              <w:top w:val="single" w:sz="4" w:space="0" w:color="auto"/>
            </w:tcBorders>
            <w:vAlign w:val="bottom"/>
          </w:tcPr>
          <w:p w14:paraId="0469BCC9"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27.3</w:t>
            </w:r>
          </w:p>
        </w:tc>
        <w:tc>
          <w:tcPr>
            <w:tcW w:w="423" w:type="pct"/>
            <w:tcBorders>
              <w:top w:val="single" w:sz="4" w:space="0" w:color="auto"/>
            </w:tcBorders>
            <w:vAlign w:val="bottom"/>
          </w:tcPr>
          <w:p w14:paraId="677C2563"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82.3</w:t>
            </w:r>
          </w:p>
        </w:tc>
        <w:tc>
          <w:tcPr>
            <w:tcW w:w="310" w:type="pct"/>
            <w:tcBorders>
              <w:top w:val="single" w:sz="4" w:space="0" w:color="auto"/>
            </w:tcBorders>
            <w:vAlign w:val="bottom"/>
          </w:tcPr>
          <w:p w14:paraId="20B333EA"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21.6</w:t>
            </w:r>
          </w:p>
        </w:tc>
        <w:tc>
          <w:tcPr>
            <w:tcW w:w="1184" w:type="pct"/>
            <w:tcBorders>
              <w:top w:val="single" w:sz="4" w:space="0" w:color="auto"/>
            </w:tcBorders>
            <w:vAlign w:val="bottom"/>
          </w:tcPr>
          <w:p w14:paraId="15DB4F88"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No (W =.887, df = 175, p = &lt;.001)</w:t>
            </w:r>
          </w:p>
        </w:tc>
      </w:tr>
      <w:tr w:rsidR="004369F3" w:rsidRPr="005B7F6C" w14:paraId="3B9C77D0" w14:textId="77777777" w:rsidTr="00704350">
        <w:tc>
          <w:tcPr>
            <w:tcW w:w="1088" w:type="pct"/>
            <w:vAlign w:val="bottom"/>
          </w:tcPr>
          <w:p w14:paraId="661BB354"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Max Width (mm)</w:t>
            </w:r>
          </w:p>
        </w:tc>
        <w:tc>
          <w:tcPr>
            <w:tcW w:w="353" w:type="pct"/>
            <w:vAlign w:val="bottom"/>
          </w:tcPr>
          <w:p w14:paraId="4FBB7FF9"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175</w:t>
            </w:r>
          </w:p>
        </w:tc>
        <w:tc>
          <w:tcPr>
            <w:tcW w:w="423" w:type="pct"/>
            <w:vAlign w:val="bottom"/>
          </w:tcPr>
          <w:p w14:paraId="672940DB"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36.1</w:t>
            </w:r>
          </w:p>
        </w:tc>
        <w:tc>
          <w:tcPr>
            <w:tcW w:w="389" w:type="pct"/>
            <w:vAlign w:val="bottom"/>
          </w:tcPr>
          <w:p w14:paraId="34AA03C0"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7.9</w:t>
            </w:r>
          </w:p>
        </w:tc>
        <w:tc>
          <w:tcPr>
            <w:tcW w:w="463" w:type="pct"/>
            <w:vAlign w:val="bottom"/>
          </w:tcPr>
          <w:p w14:paraId="795EAFB1"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35.8</w:t>
            </w:r>
          </w:p>
        </w:tc>
        <w:tc>
          <w:tcPr>
            <w:tcW w:w="367" w:type="pct"/>
            <w:vAlign w:val="bottom"/>
          </w:tcPr>
          <w:p w14:paraId="40871C6D"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18.8</w:t>
            </w:r>
          </w:p>
        </w:tc>
        <w:tc>
          <w:tcPr>
            <w:tcW w:w="423" w:type="pct"/>
            <w:vAlign w:val="bottom"/>
          </w:tcPr>
          <w:p w14:paraId="1A5A56A5"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57.5</w:t>
            </w:r>
          </w:p>
        </w:tc>
        <w:tc>
          <w:tcPr>
            <w:tcW w:w="310" w:type="pct"/>
            <w:vAlign w:val="bottom"/>
          </w:tcPr>
          <w:p w14:paraId="16BAB1A4"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21.8</w:t>
            </w:r>
          </w:p>
        </w:tc>
        <w:tc>
          <w:tcPr>
            <w:tcW w:w="1184" w:type="pct"/>
            <w:vAlign w:val="bottom"/>
          </w:tcPr>
          <w:p w14:paraId="133D8ED0"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No (W= .978,  df = 175, p = .008)</w:t>
            </w:r>
          </w:p>
        </w:tc>
      </w:tr>
      <w:tr w:rsidR="004369F3" w:rsidRPr="005B7F6C" w14:paraId="37630116" w14:textId="77777777" w:rsidTr="00704350">
        <w:tc>
          <w:tcPr>
            <w:tcW w:w="1088" w:type="pct"/>
            <w:vAlign w:val="bottom"/>
          </w:tcPr>
          <w:p w14:paraId="7CAD2D84"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Max Thicknesss (mm)</w:t>
            </w:r>
          </w:p>
        </w:tc>
        <w:tc>
          <w:tcPr>
            <w:tcW w:w="353" w:type="pct"/>
            <w:vAlign w:val="bottom"/>
          </w:tcPr>
          <w:p w14:paraId="1AB821AF"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175</w:t>
            </w:r>
          </w:p>
        </w:tc>
        <w:tc>
          <w:tcPr>
            <w:tcW w:w="423" w:type="pct"/>
            <w:vAlign w:val="bottom"/>
          </w:tcPr>
          <w:p w14:paraId="24F0EC73"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12.1</w:t>
            </w:r>
          </w:p>
        </w:tc>
        <w:tc>
          <w:tcPr>
            <w:tcW w:w="389" w:type="pct"/>
            <w:vAlign w:val="bottom"/>
          </w:tcPr>
          <w:p w14:paraId="49ABC241"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3.1</w:t>
            </w:r>
          </w:p>
        </w:tc>
        <w:tc>
          <w:tcPr>
            <w:tcW w:w="463" w:type="pct"/>
            <w:vAlign w:val="bottom"/>
          </w:tcPr>
          <w:p w14:paraId="5D482695"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12.1</w:t>
            </w:r>
          </w:p>
        </w:tc>
        <w:tc>
          <w:tcPr>
            <w:tcW w:w="367" w:type="pct"/>
            <w:vAlign w:val="bottom"/>
          </w:tcPr>
          <w:p w14:paraId="33FCFC58"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5.1</w:t>
            </w:r>
          </w:p>
        </w:tc>
        <w:tc>
          <w:tcPr>
            <w:tcW w:w="423" w:type="pct"/>
            <w:vAlign w:val="bottom"/>
          </w:tcPr>
          <w:p w14:paraId="0B698A1F"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24.0</w:t>
            </w:r>
          </w:p>
        </w:tc>
        <w:tc>
          <w:tcPr>
            <w:tcW w:w="310" w:type="pct"/>
            <w:vAlign w:val="bottom"/>
          </w:tcPr>
          <w:p w14:paraId="6AE48C0B"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25.3</w:t>
            </w:r>
          </w:p>
        </w:tc>
        <w:tc>
          <w:tcPr>
            <w:tcW w:w="1184" w:type="pct"/>
            <w:vAlign w:val="bottom"/>
          </w:tcPr>
          <w:p w14:paraId="5CDD7875"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Yes (W =.978, df = 175, p = .104)</w:t>
            </w:r>
          </w:p>
        </w:tc>
      </w:tr>
      <w:tr w:rsidR="004369F3" w:rsidRPr="005B7F6C" w14:paraId="1580E24D" w14:textId="77777777" w:rsidTr="00704350">
        <w:tc>
          <w:tcPr>
            <w:tcW w:w="1088" w:type="pct"/>
            <w:vAlign w:val="bottom"/>
          </w:tcPr>
          <w:p w14:paraId="6C2D8800"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Area (m</w:t>
            </w:r>
            <w:r w:rsidRPr="005B7F6C">
              <w:rPr>
                <w:rFonts w:ascii="Times New Roman" w:eastAsia="Times New Roman" w:hAnsi="Times New Roman" w:cs="Times New Roman"/>
                <w:color w:val="000000"/>
                <w:sz w:val="22"/>
                <w:szCs w:val="22"/>
                <w:vertAlign w:val="superscript"/>
                <w:lang w:val="en-AU" w:eastAsia="en-AU"/>
              </w:rPr>
              <w:t>2</w:t>
            </w:r>
            <w:r w:rsidRPr="005B7F6C">
              <w:rPr>
                <w:rFonts w:ascii="Times New Roman" w:eastAsia="Times New Roman" w:hAnsi="Times New Roman" w:cs="Times New Roman"/>
                <w:color w:val="000000"/>
                <w:sz w:val="22"/>
                <w:szCs w:val="22"/>
                <w:lang w:val="en-AU" w:eastAsia="en-AU"/>
              </w:rPr>
              <w:t>)</w:t>
            </w:r>
          </w:p>
        </w:tc>
        <w:tc>
          <w:tcPr>
            <w:tcW w:w="353" w:type="pct"/>
            <w:vAlign w:val="bottom"/>
          </w:tcPr>
          <w:p w14:paraId="29C74E21"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175</w:t>
            </w:r>
          </w:p>
        </w:tc>
        <w:tc>
          <w:tcPr>
            <w:tcW w:w="423" w:type="pct"/>
            <w:vAlign w:val="bottom"/>
          </w:tcPr>
          <w:p w14:paraId="5E0D11A4"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1562.5</w:t>
            </w:r>
          </w:p>
        </w:tc>
        <w:tc>
          <w:tcPr>
            <w:tcW w:w="389" w:type="pct"/>
            <w:vAlign w:val="bottom"/>
          </w:tcPr>
          <w:p w14:paraId="366AAF9F"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604.5</w:t>
            </w:r>
          </w:p>
        </w:tc>
        <w:tc>
          <w:tcPr>
            <w:tcW w:w="463" w:type="pct"/>
            <w:vAlign w:val="bottom"/>
          </w:tcPr>
          <w:p w14:paraId="35E047F2"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1428.7</w:t>
            </w:r>
          </w:p>
        </w:tc>
        <w:tc>
          <w:tcPr>
            <w:tcW w:w="367" w:type="pct"/>
            <w:vAlign w:val="bottom"/>
          </w:tcPr>
          <w:p w14:paraId="7834D8F1"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623.7</w:t>
            </w:r>
          </w:p>
        </w:tc>
        <w:tc>
          <w:tcPr>
            <w:tcW w:w="423" w:type="pct"/>
            <w:vAlign w:val="bottom"/>
          </w:tcPr>
          <w:p w14:paraId="1E738113"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4240.6</w:t>
            </w:r>
          </w:p>
        </w:tc>
        <w:tc>
          <w:tcPr>
            <w:tcW w:w="310" w:type="pct"/>
            <w:vAlign w:val="bottom"/>
          </w:tcPr>
          <w:p w14:paraId="502B828E"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38.7</w:t>
            </w:r>
          </w:p>
        </w:tc>
        <w:tc>
          <w:tcPr>
            <w:tcW w:w="1184" w:type="pct"/>
            <w:vAlign w:val="bottom"/>
          </w:tcPr>
          <w:p w14:paraId="303C5475"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No (W = .833, df = 175, p = &lt;.001)</w:t>
            </w:r>
          </w:p>
        </w:tc>
      </w:tr>
      <w:tr w:rsidR="004369F3" w:rsidRPr="005B7F6C" w14:paraId="5587EBD9" w14:textId="77777777" w:rsidTr="00704350">
        <w:tc>
          <w:tcPr>
            <w:tcW w:w="1088" w:type="pct"/>
            <w:vAlign w:val="bottom"/>
          </w:tcPr>
          <w:p w14:paraId="0A25F2FF" w14:textId="77777777" w:rsidR="004369F3" w:rsidRPr="005B7F6C" w:rsidRDefault="004369F3" w:rsidP="00B76511">
            <w:pPr>
              <w:pStyle w:val="TableNormal1"/>
              <w:rPr>
                <w:rFonts w:ascii="Times New Roman" w:eastAsia="Times New Roman" w:hAnsi="Times New Roman" w:cs="Times New Roman"/>
                <w:color w:val="000000"/>
                <w:sz w:val="22"/>
                <w:szCs w:val="22"/>
                <w:lang w:val="en-AU" w:eastAsia="en-AU"/>
              </w:rPr>
            </w:pPr>
            <w:r w:rsidRPr="005B7F6C">
              <w:rPr>
                <w:rFonts w:ascii="Times New Roman" w:eastAsia="Times New Roman" w:hAnsi="Times New Roman" w:cs="Times New Roman"/>
                <w:color w:val="000000"/>
                <w:sz w:val="22"/>
                <w:szCs w:val="22"/>
                <w:lang w:val="en-AU" w:eastAsia="en-AU"/>
              </w:rPr>
              <w:t xml:space="preserve">Elongation </w:t>
            </w:r>
          </w:p>
        </w:tc>
        <w:tc>
          <w:tcPr>
            <w:tcW w:w="353" w:type="pct"/>
            <w:vAlign w:val="bottom"/>
          </w:tcPr>
          <w:p w14:paraId="6CE7D2FC" w14:textId="77777777" w:rsidR="004369F3" w:rsidRPr="005B7F6C" w:rsidRDefault="004369F3" w:rsidP="00B76511">
            <w:pPr>
              <w:pStyle w:val="TableNormal1"/>
              <w:rPr>
                <w:rFonts w:ascii="Times New Roman" w:eastAsia="Times New Roman" w:hAnsi="Times New Roman" w:cs="Times New Roman"/>
                <w:color w:val="000000"/>
                <w:sz w:val="22"/>
                <w:szCs w:val="22"/>
                <w:lang w:val="en-AU" w:eastAsia="en-AU"/>
              </w:rPr>
            </w:pPr>
            <w:r w:rsidRPr="005B7F6C">
              <w:rPr>
                <w:rFonts w:ascii="Times New Roman" w:eastAsia="Times New Roman" w:hAnsi="Times New Roman" w:cs="Times New Roman"/>
                <w:color w:val="000000"/>
                <w:sz w:val="22"/>
                <w:szCs w:val="22"/>
                <w:lang w:val="en-AU" w:eastAsia="en-AU"/>
              </w:rPr>
              <w:t>175</w:t>
            </w:r>
          </w:p>
        </w:tc>
        <w:tc>
          <w:tcPr>
            <w:tcW w:w="423" w:type="pct"/>
            <w:vAlign w:val="bottom"/>
          </w:tcPr>
          <w:p w14:paraId="14961026" w14:textId="77777777" w:rsidR="004369F3" w:rsidRPr="005B7F6C" w:rsidRDefault="004369F3" w:rsidP="00B76511">
            <w:pPr>
              <w:pStyle w:val="TableNormal1"/>
              <w:rPr>
                <w:rFonts w:ascii="Times New Roman" w:eastAsia="Times New Roman" w:hAnsi="Times New Roman" w:cs="Times New Roman"/>
                <w:color w:val="000000"/>
                <w:sz w:val="22"/>
                <w:szCs w:val="22"/>
                <w:lang w:val="en-AU" w:eastAsia="en-AU"/>
              </w:rPr>
            </w:pPr>
            <w:r w:rsidRPr="005B7F6C">
              <w:rPr>
                <w:rFonts w:ascii="Times New Roman" w:eastAsia="Times New Roman" w:hAnsi="Times New Roman" w:cs="Times New Roman"/>
                <w:color w:val="000000"/>
                <w:sz w:val="22"/>
                <w:szCs w:val="22"/>
                <w:lang w:val="en-AU" w:eastAsia="en-AU"/>
              </w:rPr>
              <w:t>1.2</w:t>
            </w:r>
          </w:p>
        </w:tc>
        <w:tc>
          <w:tcPr>
            <w:tcW w:w="389" w:type="pct"/>
            <w:vAlign w:val="bottom"/>
          </w:tcPr>
          <w:p w14:paraId="5BF64C5B" w14:textId="77777777" w:rsidR="004369F3" w:rsidRPr="005B7F6C" w:rsidRDefault="004369F3" w:rsidP="00B76511">
            <w:pPr>
              <w:pStyle w:val="TableNormal1"/>
              <w:rPr>
                <w:rFonts w:ascii="Times New Roman" w:eastAsia="Times New Roman" w:hAnsi="Times New Roman" w:cs="Times New Roman"/>
                <w:color w:val="000000"/>
                <w:sz w:val="22"/>
                <w:szCs w:val="22"/>
                <w:lang w:val="en-AU" w:eastAsia="en-AU"/>
              </w:rPr>
            </w:pPr>
            <w:r w:rsidRPr="005B7F6C">
              <w:rPr>
                <w:rFonts w:ascii="Times New Roman" w:eastAsia="Times New Roman" w:hAnsi="Times New Roman" w:cs="Times New Roman"/>
                <w:color w:val="000000"/>
                <w:sz w:val="22"/>
                <w:szCs w:val="22"/>
                <w:lang w:val="en-AU" w:eastAsia="en-AU"/>
              </w:rPr>
              <w:t>0.3</w:t>
            </w:r>
          </w:p>
        </w:tc>
        <w:tc>
          <w:tcPr>
            <w:tcW w:w="463" w:type="pct"/>
            <w:vAlign w:val="bottom"/>
          </w:tcPr>
          <w:p w14:paraId="12DC3500" w14:textId="77777777" w:rsidR="004369F3" w:rsidRPr="005B7F6C" w:rsidRDefault="004369F3" w:rsidP="00B76511">
            <w:pPr>
              <w:pStyle w:val="TableNormal1"/>
              <w:rPr>
                <w:rFonts w:ascii="Times New Roman" w:eastAsia="Times New Roman" w:hAnsi="Times New Roman" w:cs="Times New Roman"/>
                <w:color w:val="000000"/>
                <w:sz w:val="22"/>
                <w:szCs w:val="22"/>
                <w:lang w:val="en-AU" w:eastAsia="en-AU"/>
              </w:rPr>
            </w:pPr>
            <w:r w:rsidRPr="005B7F6C">
              <w:rPr>
                <w:rFonts w:ascii="Times New Roman" w:eastAsia="Times New Roman" w:hAnsi="Times New Roman" w:cs="Times New Roman"/>
                <w:color w:val="000000"/>
                <w:sz w:val="22"/>
                <w:szCs w:val="22"/>
                <w:lang w:val="en-AU" w:eastAsia="en-AU"/>
              </w:rPr>
              <w:t>1.1</w:t>
            </w:r>
          </w:p>
        </w:tc>
        <w:tc>
          <w:tcPr>
            <w:tcW w:w="367" w:type="pct"/>
            <w:vAlign w:val="bottom"/>
          </w:tcPr>
          <w:p w14:paraId="24E9F0BB" w14:textId="77777777" w:rsidR="004369F3" w:rsidRPr="005B7F6C" w:rsidRDefault="004369F3" w:rsidP="00B76511">
            <w:pPr>
              <w:pStyle w:val="TableNormal1"/>
              <w:rPr>
                <w:rFonts w:ascii="Times New Roman" w:eastAsia="Times New Roman" w:hAnsi="Times New Roman" w:cs="Times New Roman"/>
                <w:color w:val="000000"/>
                <w:sz w:val="22"/>
                <w:szCs w:val="22"/>
                <w:lang w:val="en-AU" w:eastAsia="en-AU"/>
              </w:rPr>
            </w:pPr>
            <w:r w:rsidRPr="005B7F6C">
              <w:rPr>
                <w:rFonts w:ascii="Times New Roman" w:eastAsia="Times New Roman" w:hAnsi="Times New Roman" w:cs="Times New Roman"/>
                <w:color w:val="000000"/>
                <w:sz w:val="22"/>
                <w:szCs w:val="22"/>
                <w:lang w:val="en-AU" w:eastAsia="en-AU"/>
              </w:rPr>
              <w:t>0.7</w:t>
            </w:r>
          </w:p>
        </w:tc>
        <w:tc>
          <w:tcPr>
            <w:tcW w:w="423" w:type="pct"/>
            <w:vAlign w:val="bottom"/>
          </w:tcPr>
          <w:p w14:paraId="3DC50475" w14:textId="77777777" w:rsidR="004369F3" w:rsidRPr="005B7F6C" w:rsidRDefault="004369F3" w:rsidP="00B76511">
            <w:pPr>
              <w:pStyle w:val="TableNormal1"/>
              <w:rPr>
                <w:rFonts w:ascii="Times New Roman" w:eastAsia="Times New Roman" w:hAnsi="Times New Roman" w:cs="Times New Roman"/>
                <w:color w:val="000000"/>
                <w:sz w:val="22"/>
                <w:szCs w:val="22"/>
                <w:lang w:val="en-AU" w:eastAsia="en-AU"/>
              </w:rPr>
            </w:pPr>
            <w:r w:rsidRPr="005B7F6C">
              <w:rPr>
                <w:rFonts w:ascii="Times New Roman" w:eastAsia="Times New Roman" w:hAnsi="Times New Roman" w:cs="Times New Roman"/>
                <w:color w:val="000000"/>
                <w:sz w:val="22"/>
                <w:szCs w:val="22"/>
                <w:lang w:val="en-AU" w:eastAsia="en-AU"/>
              </w:rPr>
              <w:t>3.2</w:t>
            </w:r>
          </w:p>
        </w:tc>
        <w:tc>
          <w:tcPr>
            <w:tcW w:w="310" w:type="pct"/>
            <w:vAlign w:val="bottom"/>
          </w:tcPr>
          <w:p w14:paraId="4A48E421" w14:textId="77777777" w:rsidR="004369F3" w:rsidRPr="005B7F6C" w:rsidRDefault="004369F3" w:rsidP="00B76511">
            <w:pPr>
              <w:pStyle w:val="TableNormal1"/>
              <w:rPr>
                <w:rFonts w:ascii="Times New Roman" w:eastAsia="Times New Roman" w:hAnsi="Times New Roman" w:cs="Times New Roman"/>
                <w:color w:val="000000"/>
                <w:sz w:val="22"/>
                <w:szCs w:val="22"/>
                <w:lang w:val="en-AU" w:eastAsia="en-AU"/>
              </w:rPr>
            </w:pPr>
            <w:r w:rsidRPr="005B7F6C">
              <w:rPr>
                <w:rFonts w:ascii="Times New Roman" w:eastAsia="Times New Roman" w:hAnsi="Times New Roman" w:cs="Times New Roman"/>
                <w:color w:val="000000"/>
                <w:sz w:val="22"/>
                <w:szCs w:val="22"/>
                <w:lang w:val="en-AU" w:eastAsia="en-AU"/>
              </w:rPr>
              <w:t>28.1</w:t>
            </w:r>
          </w:p>
        </w:tc>
        <w:tc>
          <w:tcPr>
            <w:tcW w:w="1184" w:type="pct"/>
            <w:vAlign w:val="bottom"/>
          </w:tcPr>
          <w:p w14:paraId="6964A7D8" w14:textId="77777777" w:rsidR="004369F3" w:rsidRPr="005B7F6C" w:rsidRDefault="004369F3" w:rsidP="00B76511">
            <w:pPr>
              <w:pStyle w:val="TableNormal1"/>
              <w:rPr>
                <w:rFonts w:ascii="Times New Roman" w:eastAsia="Times New Roman" w:hAnsi="Times New Roman" w:cs="Times New Roman"/>
                <w:color w:val="000000"/>
                <w:sz w:val="22"/>
                <w:szCs w:val="22"/>
                <w:lang w:val="en-AU" w:eastAsia="en-AU"/>
              </w:rPr>
            </w:pPr>
            <w:r w:rsidRPr="005B7F6C">
              <w:rPr>
                <w:rFonts w:ascii="Times New Roman" w:eastAsia="Times New Roman" w:hAnsi="Times New Roman" w:cs="Times New Roman"/>
                <w:color w:val="000000"/>
                <w:sz w:val="22"/>
                <w:szCs w:val="22"/>
                <w:lang w:val="en-AU" w:eastAsia="en-AU"/>
              </w:rPr>
              <w:t>No (W = .860, df = 175, p = &lt;.001)</w:t>
            </w:r>
          </w:p>
        </w:tc>
      </w:tr>
    </w:tbl>
    <w:p w14:paraId="5A6FD0A0" w14:textId="77777777" w:rsidR="004369F3" w:rsidRPr="005B7F6C" w:rsidRDefault="004369F3" w:rsidP="004369F3">
      <w:pPr>
        <w:widowControl w:val="0"/>
        <w:rPr>
          <w:sz w:val="22"/>
          <w:szCs w:val="22"/>
        </w:rPr>
      </w:pPr>
    </w:p>
    <w:p w14:paraId="0EA38071" w14:textId="77777777" w:rsidR="004369F3" w:rsidRPr="005B7F6C" w:rsidRDefault="004369F3" w:rsidP="004369F3">
      <w:pPr>
        <w:widowControl w:val="0"/>
        <w:rPr>
          <w:sz w:val="22"/>
          <w:szCs w:val="22"/>
        </w:rPr>
      </w:pPr>
      <w:r w:rsidRPr="005B7F6C">
        <w:rPr>
          <w:sz w:val="22"/>
          <w:szCs w:val="22"/>
        </w:rPr>
        <w:t xml:space="preserve">Table S2. Descriptive statistics for key retouch characteristics investigated in this study </w:t>
      </w:r>
    </w:p>
    <w:p w14:paraId="31831B42" w14:textId="77777777" w:rsidR="004369F3" w:rsidRPr="005B7F6C" w:rsidRDefault="004369F3" w:rsidP="004369F3">
      <w:pPr>
        <w:rPr>
          <w:sz w:val="22"/>
          <w:szCs w:val="22"/>
        </w:rPr>
      </w:pPr>
    </w:p>
    <w:tbl>
      <w:tblPr>
        <w:tblW w:w="5390" w:type="pct"/>
        <w:tblLook w:val="04A0" w:firstRow="1" w:lastRow="0" w:firstColumn="1" w:lastColumn="0" w:noHBand="0" w:noVBand="1"/>
      </w:tblPr>
      <w:tblGrid>
        <w:gridCol w:w="2112"/>
        <w:gridCol w:w="680"/>
        <w:gridCol w:w="819"/>
        <w:gridCol w:w="753"/>
        <w:gridCol w:w="938"/>
        <w:gridCol w:w="711"/>
        <w:gridCol w:w="818"/>
        <w:gridCol w:w="601"/>
        <w:gridCol w:w="2298"/>
      </w:tblGrid>
      <w:tr w:rsidR="004369F3" w:rsidRPr="005B7F6C" w14:paraId="3A2C4981" w14:textId="77777777" w:rsidTr="00B76511">
        <w:tc>
          <w:tcPr>
            <w:tcW w:w="1088" w:type="pct"/>
            <w:tcBorders>
              <w:top w:val="single" w:sz="4" w:space="0" w:color="auto"/>
              <w:bottom w:val="single" w:sz="4" w:space="0" w:color="auto"/>
            </w:tcBorders>
            <w:vAlign w:val="bottom"/>
          </w:tcPr>
          <w:p w14:paraId="0DB99343" w14:textId="77777777" w:rsidR="004369F3" w:rsidRPr="005B7F6C" w:rsidRDefault="004369F3" w:rsidP="00B76511">
            <w:pPr>
              <w:pStyle w:val="TableNormal1"/>
              <w:rPr>
                <w:rFonts w:ascii="Times New Roman" w:hAnsi="Times New Roman" w:cs="Times New Roman"/>
                <w:b/>
                <w:sz w:val="22"/>
                <w:szCs w:val="22"/>
              </w:rPr>
            </w:pPr>
            <w:r w:rsidRPr="005B7F6C">
              <w:rPr>
                <w:rFonts w:ascii="Times New Roman" w:eastAsia="Times New Roman" w:hAnsi="Times New Roman" w:cs="Times New Roman"/>
                <w:b/>
                <w:bCs/>
                <w:color w:val="000000"/>
                <w:sz w:val="22"/>
                <w:szCs w:val="22"/>
                <w:lang w:val="en-AU" w:eastAsia="en-AU"/>
              </w:rPr>
              <w:t>Attribute</w:t>
            </w:r>
          </w:p>
        </w:tc>
        <w:tc>
          <w:tcPr>
            <w:tcW w:w="352" w:type="pct"/>
            <w:tcBorders>
              <w:top w:val="single" w:sz="4" w:space="0" w:color="auto"/>
              <w:bottom w:val="single" w:sz="4" w:space="0" w:color="auto"/>
            </w:tcBorders>
            <w:vAlign w:val="bottom"/>
          </w:tcPr>
          <w:p w14:paraId="2353347A" w14:textId="77777777" w:rsidR="004369F3" w:rsidRPr="005B7F6C" w:rsidRDefault="004369F3" w:rsidP="00B76511">
            <w:pPr>
              <w:pStyle w:val="TableNormal1"/>
              <w:rPr>
                <w:rFonts w:ascii="Times New Roman" w:hAnsi="Times New Roman" w:cs="Times New Roman"/>
                <w:b/>
                <w:sz w:val="22"/>
                <w:szCs w:val="22"/>
              </w:rPr>
            </w:pPr>
            <w:r w:rsidRPr="005B7F6C">
              <w:rPr>
                <w:rFonts w:ascii="Times New Roman" w:eastAsia="Times New Roman" w:hAnsi="Times New Roman" w:cs="Times New Roman"/>
                <w:b/>
                <w:bCs/>
                <w:color w:val="000000"/>
                <w:sz w:val="22"/>
                <w:szCs w:val="22"/>
                <w:lang w:val="en-AU" w:eastAsia="en-AU"/>
              </w:rPr>
              <w:t>N</w:t>
            </w:r>
          </w:p>
        </w:tc>
        <w:tc>
          <w:tcPr>
            <w:tcW w:w="423" w:type="pct"/>
            <w:tcBorders>
              <w:top w:val="single" w:sz="4" w:space="0" w:color="auto"/>
              <w:bottom w:val="single" w:sz="4" w:space="0" w:color="auto"/>
            </w:tcBorders>
            <w:vAlign w:val="bottom"/>
          </w:tcPr>
          <w:p w14:paraId="4A10FC91" w14:textId="77777777" w:rsidR="004369F3" w:rsidRPr="005B7F6C" w:rsidRDefault="004369F3" w:rsidP="00B76511">
            <w:pPr>
              <w:pStyle w:val="TableNormal1"/>
              <w:rPr>
                <w:rFonts w:ascii="Times New Roman" w:hAnsi="Times New Roman" w:cs="Times New Roman"/>
                <w:b/>
                <w:sz w:val="22"/>
                <w:szCs w:val="22"/>
              </w:rPr>
            </w:pPr>
            <w:r w:rsidRPr="005B7F6C">
              <w:rPr>
                <w:rFonts w:ascii="Times New Roman" w:eastAsia="Times New Roman" w:hAnsi="Times New Roman" w:cs="Times New Roman"/>
                <w:b/>
                <w:bCs/>
                <w:color w:val="000000"/>
                <w:sz w:val="22"/>
                <w:szCs w:val="22"/>
                <w:lang w:val="en-AU" w:eastAsia="en-AU"/>
              </w:rPr>
              <w:t>Mean</w:t>
            </w:r>
          </w:p>
        </w:tc>
        <w:tc>
          <w:tcPr>
            <w:tcW w:w="389" w:type="pct"/>
            <w:tcBorders>
              <w:top w:val="single" w:sz="4" w:space="0" w:color="auto"/>
              <w:bottom w:val="single" w:sz="4" w:space="0" w:color="auto"/>
            </w:tcBorders>
            <w:vAlign w:val="bottom"/>
          </w:tcPr>
          <w:p w14:paraId="08B63520" w14:textId="77777777" w:rsidR="004369F3" w:rsidRPr="005B7F6C" w:rsidRDefault="004369F3" w:rsidP="00B76511">
            <w:pPr>
              <w:pStyle w:val="TableNormal1"/>
              <w:rPr>
                <w:rFonts w:ascii="Times New Roman" w:hAnsi="Times New Roman" w:cs="Times New Roman"/>
                <w:b/>
                <w:sz w:val="22"/>
                <w:szCs w:val="22"/>
              </w:rPr>
            </w:pPr>
            <w:r w:rsidRPr="005B7F6C">
              <w:rPr>
                <w:rFonts w:ascii="Times New Roman" w:eastAsia="Times New Roman" w:hAnsi="Times New Roman" w:cs="Times New Roman"/>
                <w:b/>
                <w:bCs/>
                <w:color w:val="000000"/>
                <w:sz w:val="22"/>
                <w:szCs w:val="22"/>
                <w:lang w:val="en-AU" w:eastAsia="en-AU"/>
              </w:rPr>
              <w:t>Stdev</w:t>
            </w:r>
          </w:p>
        </w:tc>
        <w:tc>
          <w:tcPr>
            <w:tcW w:w="463" w:type="pct"/>
            <w:tcBorders>
              <w:top w:val="single" w:sz="4" w:space="0" w:color="auto"/>
              <w:bottom w:val="single" w:sz="4" w:space="0" w:color="auto"/>
            </w:tcBorders>
            <w:vAlign w:val="bottom"/>
          </w:tcPr>
          <w:p w14:paraId="5120B60F" w14:textId="77777777" w:rsidR="004369F3" w:rsidRPr="005B7F6C" w:rsidRDefault="004369F3" w:rsidP="00B76511">
            <w:pPr>
              <w:pStyle w:val="TableNormal1"/>
              <w:rPr>
                <w:rFonts w:ascii="Times New Roman" w:hAnsi="Times New Roman" w:cs="Times New Roman"/>
                <w:b/>
                <w:sz w:val="22"/>
                <w:szCs w:val="22"/>
              </w:rPr>
            </w:pPr>
            <w:r w:rsidRPr="005B7F6C">
              <w:rPr>
                <w:rFonts w:ascii="Times New Roman" w:eastAsia="Times New Roman" w:hAnsi="Times New Roman" w:cs="Times New Roman"/>
                <w:b/>
                <w:bCs/>
                <w:color w:val="000000"/>
                <w:sz w:val="22"/>
                <w:szCs w:val="22"/>
                <w:lang w:val="en-AU" w:eastAsia="en-AU"/>
              </w:rPr>
              <w:t>Median</w:t>
            </w:r>
          </w:p>
        </w:tc>
        <w:tc>
          <w:tcPr>
            <w:tcW w:w="367" w:type="pct"/>
            <w:tcBorders>
              <w:top w:val="single" w:sz="4" w:space="0" w:color="auto"/>
              <w:bottom w:val="single" w:sz="4" w:space="0" w:color="auto"/>
            </w:tcBorders>
            <w:vAlign w:val="bottom"/>
          </w:tcPr>
          <w:p w14:paraId="6EF54872" w14:textId="77777777" w:rsidR="004369F3" w:rsidRPr="005B7F6C" w:rsidRDefault="004369F3" w:rsidP="00B76511">
            <w:pPr>
              <w:pStyle w:val="TableNormal1"/>
              <w:rPr>
                <w:rFonts w:ascii="Times New Roman" w:hAnsi="Times New Roman" w:cs="Times New Roman"/>
                <w:b/>
                <w:sz w:val="22"/>
                <w:szCs w:val="22"/>
              </w:rPr>
            </w:pPr>
            <w:r w:rsidRPr="005B7F6C">
              <w:rPr>
                <w:rFonts w:ascii="Times New Roman" w:eastAsia="Times New Roman" w:hAnsi="Times New Roman" w:cs="Times New Roman"/>
                <w:b/>
                <w:bCs/>
                <w:color w:val="000000"/>
                <w:sz w:val="22"/>
                <w:szCs w:val="22"/>
                <w:lang w:val="en-AU" w:eastAsia="en-AU"/>
              </w:rPr>
              <w:t>Min</w:t>
            </w:r>
          </w:p>
        </w:tc>
        <w:tc>
          <w:tcPr>
            <w:tcW w:w="423" w:type="pct"/>
            <w:tcBorders>
              <w:top w:val="single" w:sz="4" w:space="0" w:color="auto"/>
              <w:bottom w:val="single" w:sz="4" w:space="0" w:color="auto"/>
            </w:tcBorders>
            <w:vAlign w:val="bottom"/>
          </w:tcPr>
          <w:p w14:paraId="52E925F0" w14:textId="77777777" w:rsidR="004369F3" w:rsidRPr="005B7F6C" w:rsidRDefault="004369F3" w:rsidP="00B76511">
            <w:pPr>
              <w:pStyle w:val="TableNormal1"/>
              <w:rPr>
                <w:rFonts w:ascii="Times New Roman" w:hAnsi="Times New Roman" w:cs="Times New Roman"/>
                <w:b/>
                <w:sz w:val="22"/>
                <w:szCs w:val="22"/>
              </w:rPr>
            </w:pPr>
            <w:r w:rsidRPr="005B7F6C">
              <w:rPr>
                <w:rFonts w:ascii="Times New Roman" w:eastAsia="Times New Roman" w:hAnsi="Times New Roman" w:cs="Times New Roman"/>
                <w:b/>
                <w:bCs/>
                <w:color w:val="000000"/>
                <w:sz w:val="22"/>
                <w:szCs w:val="22"/>
                <w:lang w:val="en-AU" w:eastAsia="en-AU"/>
              </w:rPr>
              <w:t>Max</w:t>
            </w:r>
          </w:p>
        </w:tc>
        <w:tc>
          <w:tcPr>
            <w:tcW w:w="310" w:type="pct"/>
            <w:tcBorders>
              <w:top w:val="single" w:sz="4" w:space="0" w:color="auto"/>
              <w:bottom w:val="single" w:sz="4" w:space="0" w:color="auto"/>
            </w:tcBorders>
            <w:vAlign w:val="bottom"/>
          </w:tcPr>
          <w:p w14:paraId="55615103" w14:textId="77777777" w:rsidR="004369F3" w:rsidRPr="005B7F6C" w:rsidRDefault="004369F3" w:rsidP="00B76511">
            <w:pPr>
              <w:pStyle w:val="TableNormal1"/>
              <w:rPr>
                <w:rFonts w:ascii="Times New Roman" w:hAnsi="Times New Roman" w:cs="Times New Roman"/>
                <w:b/>
                <w:sz w:val="22"/>
                <w:szCs w:val="22"/>
              </w:rPr>
            </w:pPr>
            <w:r w:rsidRPr="005B7F6C">
              <w:rPr>
                <w:rFonts w:ascii="Times New Roman" w:eastAsia="Times New Roman" w:hAnsi="Times New Roman" w:cs="Times New Roman"/>
                <w:b/>
                <w:bCs/>
                <w:color w:val="000000"/>
                <w:sz w:val="22"/>
                <w:szCs w:val="22"/>
                <w:lang w:val="en-AU" w:eastAsia="en-AU"/>
              </w:rPr>
              <w:t>CV</w:t>
            </w:r>
          </w:p>
        </w:tc>
        <w:tc>
          <w:tcPr>
            <w:tcW w:w="1184" w:type="pct"/>
            <w:tcBorders>
              <w:top w:val="single" w:sz="4" w:space="0" w:color="auto"/>
              <w:bottom w:val="single" w:sz="4" w:space="0" w:color="auto"/>
            </w:tcBorders>
            <w:vAlign w:val="bottom"/>
          </w:tcPr>
          <w:p w14:paraId="116DBE5A" w14:textId="77777777" w:rsidR="004369F3" w:rsidRPr="005B7F6C" w:rsidRDefault="004369F3" w:rsidP="00B76511">
            <w:pPr>
              <w:pStyle w:val="TableNormal1"/>
              <w:rPr>
                <w:rFonts w:ascii="Times New Roman" w:hAnsi="Times New Roman" w:cs="Times New Roman"/>
                <w:b/>
                <w:sz w:val="22"/>
                <w:szCs w:val="22"/>
              </w:rPr>
            </w:pPr>
            <w:r w:rsidRPr="005B7F6C">
              <w:rPr>
                <w:rFonts w:ascii="Times New Roman" w:eastAsia="Times New Roman" w:hAnsi="Times New Roman" w:cs="Times New Roman"/>
                <w:b/>
                <w:bCs/>
                <w:color w:val="000000"/>
                <w:sz w:val="22"/>
                <w:szCs w:val="22"/>
                <w:lang w:val="en-AU" w:eastAsia="en-AU"/>
              </w:rPr>
              <w:t>Normally distributed?</w:t>
            </w:r>
          </w:p>
        </w:tc>
      </w:tr>
      <w:tr w:rsidR="004369F3" w:rsidRPr="005B7F6C" w14:paraId="5010FA78" w14:textId="77777777" w:rsidTr="00B76511">
        <w:tc>
          <w:tcPr>
            <w:tcW w:w="1088" w:type="pct"/>
            <w:tcBorders>
              <w:top w:val="single" w:sz="4" w:space="0" w:color="auto"/>
            </w:tcBorders>
            <w:vAlign w:val="bottom"/>
          </w:tcPr>
          <w:p w14:paraId="500CA64A"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GIUR</w:t>
            </w:r>
          </w:p>
        </w:tc>
        <w:tc>
          <w:tcPr>
            <w:tcW w:w="352" w:type="pct"/>
            <w:tcBorders>
              <w:top w:val="single" w:sz="4" w:space="0" w:color="auto"/>
            </w:tcBorders>
            <w:vAlign w:val="bottom"/>
          </w:tcPr>
          <w:p w14:paraId="10544937"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175</w:t>
            </w:r>
          </w:p>
        </w:tc>
        <w:tc>
          <w:tcPr>
            <w:tcW w:w="423" w:type="pct"/>
            <w:tcBorders>
              <w:top w:val="single" w:sz="4" w:space="0" w:color="auto"/>
            </w:tcBorders>
            <w:vAlign w:val="bottom"/>
          </w:tcPr>
          <w:p w14:paraId="0C897EC7"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0.50</w:t>
            </w:r>
          </w:p>
        </w:tc>
        <w:tc>
          <w:tcPr>
            <w:tcW w:w="389" w:type="pct"/>
            <w:tcBorders>
              <w:top w:val="single" w:sz="4" w:space="0" w:color="auto"/>
            </w:tcBorders>
            <w:vAlign w:val="bottom"/>
          </w:tcPr>
          <w:p w14:paraId="11D149D3"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0.17</w:t>
            </w:r>
          </w:p>
        </w:tc>
        <w:tc>
          <w:tcPr>
            <w:tcW w:w="463" w:type="pct"/>
            <w:tcBorders>
              <w:top w:val="single" w:sz="4" w:space="0" w:color="auto"/>
            </w:tcBorders>
            <w:vAlign w:val="bottom"/>
          </w:tcPr>
          <w:p w14:paraId="2509D99A"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0.50</w:t>
            </w:r>
          </w:p>
        </w:tc>
        <w:tc>
          <w:tcPr>
            <w:tcW w:w="367" w:type="pct"/>
            <w:tcBorders>
              <w:top w:val="single" w:sz="4" w:space="0" w:color="auto"/>
            </w:tcBorders>
            <w:vAlign w:val="bottom"/>
          </w:tcPr>
          <w:p w14:paraId="05EDBA65"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0.19</w:t>
            </w:r>
          </w:p>
        </w:tc>
        <w:tc>
          <w:tcPr>
            <w:tcW w:w="423" w:type="pct"/>
            <w:tcBorders>
              <w:top w:val="single" w:sz="4" w:space="0" w:color="auto"/>
            </w:tcBorders>
            <w:vAlign w:val="bottom"/>
          </w:tcPr>
          <w:p w14:paraId="0C14792E"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0.92</w:t>
            </w:r>
          </w:p>
        </w:tc>
        <w:tc>
          <w:tcPr>
            <w:tcW w:w="310" w:type="pct"/>
            <w:tcBorders>
              <w:top w:val="single" w:sz="4" w:space="0" w:color="auto"/>
            </w:tcBorders>
            <w:vAlign w:val="bottom"/>
          </w:tcPr>
          <w:p w14:paraId="08798DF1"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33.6</w:t>
            </w:r>
          </w:p>
        </w:tc>
        <w:tc>
          <w:tcPr>
            <w:tcW w:w="1184" w:type="pct"/>
            <w:tcBorders>
              <w:top w:val="single" w:sz="4" w:space="0" w:color="auto"/>
            </w:tcBorders>
            <w:vAlign w:val="bottom"/>
          </w:tcPr>
          <w:p w14:paraId="3A46FAD1"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No (W = .975, df = 175, p = .003)</w:t>
            </w:r>
          </w:p>
        </w:tc>
      </w:tr>
      <w:tr w:rsidR="004369F3" w:rsidRPr="005B7F6C" w14:paraId="286F62DD" w14:textId="77777777" w:rsidTr="00B76511">
        <w:tc>
          <w:tcPr>
            <w:tcW w:w="1088" w:type="pct"/>
            <w:vAlign w:val="bottom"/>
          </w:tcPr>
          <w:p w14:paraId="36659F91"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Perimeter retouch %</w:t>
            </w:r>
          </w:p>
        </w:tc>
        <w:tc>
          <w:tcPr>
            <w:tcW w:w="352" w:type="pct"/>
            <w:vAlign w:val="bottom"/>
          </w:tcPr>
          <w:p w14:paraId="73A74C93"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175</w:t>
            </w:r>
          </w:p>
        </w:tc>
        <w:tc>
          <w:tcPr>
            <w:tcW w:w="423" w:type="pct"/>
            <w:vAlign w:val="bottom"/>
          </w:tcPr>
          <w:p w14:paraId="74318781"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40.32</w:t>
            </w:r>
          </w:p>
        </w:tc>
        <w:tc>
          <w:tcPr>
            <w:tcW w:w="389" w:type="pct"/>
            <w:vAlign w:val="bottom"/>
          </w:tcPr>
          <w:p w14:paraId="2B28537B"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20.36</w:t>
            </w:r>
          </w:p>
        </w:tc>
        <w:tc>
          <w:tcPr>
            <w:tcW w:w="463" w:type="pct"/>
            <w:vAlign w:val="bottom"/>
          </w:tcPr>
          <w:p w14:paraId="451753A6"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34.73</w:t>
            </w:r>
          </w:p>
        </w:tc>
        <w:tc>
          <w:tcPr>
            <w:tcW w:w="367" w:type="pct"/>
            <w:vAlign w:val="bottom"/>
          </w:tcPr>
          <w:p w14:paraId="2AF0E976"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4.56</w:t>
            </w:r>
          </w:p>
        </w:tc>
        <w:tc>
          <w:tcPr>
            <w:tcW w:w="423" w:type="pct"/>
            <w:vAlign w:val="bottom"/>
          </w:tcPr>
          <w:p w14:paraId="77392BC1"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91.10</w:t>
            </w:r>
          </w:p>
        </w:tc>
        <w:tc>
          <w:tcPr>
            <w:tcW w:w="310" w:type="pct"/>
            <w:vAlign w:val="bottom"/>
          </w:tcPr>
          <w:p w14:paraId="67508DC9"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50.5</w:t>
            </w:r>
          </w:p>
        </w:tc>
        <w:tc>
          <w:tcPr>
            <w:tcW w:w="1184" w:type="pct"/>
            <w:vAlign w:val="bottom"/>
          </w:tcPr>
          <w:p w14:paraId="185C4FD5"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No (W = .944, df = 175, p = &lt;.001)</w:t>
            </w:r>
          </w:p>
        </w:tc>
      </w:tr>
      <w:tr w:rsidR="004369F3" w:rsidRPr="005B7F6C" w14:paraId="107BD2A1" w14:textId="77777777" w:rsidTr="00B76511">
        <w:tc>
          <w:tcPr>
            <w:tcW w:w="1088" w:type="pct"/>
            <w:vAlign w:val="bottom"/>
          </w:tcPr>
          <w:p w14:paraId="543092DF"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Edge curvature (EC)</w:t>
            </w:r>
          </w:p>
        </w:tc>
        <w:tc>
          <w:tcPr>
            <w:tcW w:w="352" w:type="pct"/>
            <w:vAlign w:val="bottom"/>
          </w:tcPr>
          <w:p w14:paraId="667F6600"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175</w:t>
            </w:r>
          </w:p>
        </w:tc>
        <w:tc>
          <w:tcPr>
            <w:tcW w:w="423" w:type="pct"/>
            <w:vAlign w:val="bottom"/>
          </w:tcPr>
          <w:p w14:paraId="40790AE8"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0.51</w:t>
            </w:r>
          </w:p>
        </w:tc>
        <w:tc>
          <w:tcPr>
            <w:tcW w:w="389" w:type="pct"/>
            <w:vAlign w:val="bottom"/>
          </w:tcPr>
          <w:p w14:paraId="7EA43840"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0.48</w:t>
            </w:r>
          </w:p>
        </w:tc>
        <w:tc>
          <w:tcPr>
            <w:tcW w:w="463" w:type="pct"/>
            <w:vAlign w:val="bottom"/>
          </w:tcPr>
          <w:p w14:paraId="7D0EE482"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0.35</w:t>
            </w:r>
          </w:p>
        </w:tc>
        <w:tc>
          <w:tcPr>
            <w:tcW w:w="367" w:type="pct"/>
            <w:vAlign w:val="bottom"/>
          </w:tcPr>
          <w:p w14:paraId="3F6159C5"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-0.06</w:t>
            </w:r>
          </w:p>
        </w:tc>
        <w:tc>
          <w:tcPr>
            <w:tcW w:w="423" w:type="pct"/>
            <w:vAlign w:val="bottom"/>
          </w:tcPr>
          <w:p w14:paraId="14BDAEDD"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3.97</w:t>
            </w:r>
          </w:p>
        </w:tc>
        <w:tc>
          <w:tcPr>
            <w:tcW w:w="310" w:type="pct"/>
            <w:vAlign w:val="bottom"/>
          </w:tcPr>
          <w:p w14:paraId="4BEA1506"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93.9</w:t>
            </w:r>
          </w:p>
        </w:tc>
        <w:tc>
          <w:tcPr>
            <w:tcW w:w="1184" w:type="pct"/>
            <w:vAlign w:val="bottom"/>
          </w:tcPr>
          <w:p w14:paraId="6E355E9E"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No (W = .644, df = 175, p = &lt;.001)</w:t>
            </w:r>
          </w:p>
        </w:tc>
      </w:tr>
      <w:tr w:rsidR="004369F3" w:rsidRPr="005B7F6C" w14:paraId="3E087106" w14:textId="77777777" w:rsidTr="00B76511">
        <w:tc>
          <w:tcPr>
            <w:tcW w:w="1088" w:type="pct"/>
            <w:vAlign w:val="bottom"/>
          </w:tcPr>
          <w:p w14:paraId="794C2E72"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Edge angle (EA)</w:t>
            </w:r>
          </w:p>
        </w:tc>
        <w:tc>
          <w:tcPr>
            <w:tcW w:w="352" w:type="pct"/>
            <w:vAlign w:val="bottom"/>
          </w:tcPr>
          <w:p w14:paraId="7A9EC1F3"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175</w:t>
            </w:r>
          </w:p>
        </w:tc>
        <w:tc>
          <w:tcPr>
            <w:tcW w:w="423" w:type="pct"/>
            <w:vAlign w:val="bottom"/>
          </w:tcPr>
          <w:p w14:paraId="37836EE7"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59.52</w:t>
            </w:r>
          </w:p>
        </w:tc>
        <w:tc>
          <w:tcPr>
            <w:tcW w:w="389" w:type="pct"/>
            <w:vAlign w:val="bottom"/>
          </w:tcPr>
          <w:p w14:paraId="484275D9"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9.45</w:t>
            </w:r>
          </w:p>
        </w:tc>
        <w:tc>
          <w:tcPr>
            <w:tcW w:w="463" w:type="pct"/>
            <w:vAlign w:val="bottom"/>
          </w:tcPr>
          <w:p w14:paraId="38AFEF2F"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59.33</w:t>
            </w:r>
          </w:p>
        </w:tc>
        <w:tc>
          <w:tcPr>
            <w:tcW w:w="367" w:type="pct"/>
            <w:vAlign w:val="bottom"/>
          </w:tcPr>
          <w:p w14:paraId="5077A063"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30.33</w:t>
            </w:r>
          </w:p>
        </w:tc>
        <w:tc>
          <w:tcPr>
            <w:tcW w:w="423" w:type="pct"/>
            <w:vAlign w:val="bottom"/>
          </w:tcPr>
          <w:p w14:paraId="1850C64A"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81.33</w:t>
            </w:r>
          </w:p>
        </w:tc>
        <w:tc>
          <w:tcPr>
            <w:tcW w:w="310" w:type="pct"/>
            <w:vAlign w:val="bottom"/>
          </w:tcPr>
          <w:p w14:paraId="6DD3D3EE"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15.9</w:t>
            </w:r>
          </w:p>
        </w:tc>
        <w:tc>
          <w:tcPr>
            <w:tcW w:w="1184" w:type="pct"/>
            <w:vAlign w:val="bottom"/>
          </w:tcPr>
          <w:p w14:paraId="72764380" w14:textId="77777777" w:rsidR="004369F3" w:rsidRPr="005B7F6C" w:rsidRDefault="004369F3" w:rsidP="00B76511">
            <w:pPr>
              <w:pStyle w:val="TableNormal1"/>
              <w:rPr>
                <w:rFonts w:ascii="Times New Roman" w:hAnsi="Times New Roman" w:cs="Times New Roman"/>
                <w:sz w:val="22"/>
                <w:szCs w:val="22"/>
              </w:rPr>
            </w:pPr>
            <w:r w:rsidRPr="005B7F6C">
              <w:rPr>
                <w:rFonts w:ascii="Times New Roman" w:eastAsia="Times New Roman" w:hAnsi="Times New Roman" w:cs="Times New Roman"/>
                <w:color w:val="000000"/>
                <w:sz w:val="22"/>
                <w:szCs w:val="22"/>
                <w:lang w:val="en-AU" w:eastAsia="en-AU"/>
              </w:rPr>
              <w:t>Yes (W = .995, df = 1750 p = .825)</w:t>
            </w:r>
          </w:p>
        </w:tc>
      </w:tr>
      <w:tr w:rsidR="004369F3" w:rsidRPr="005B7F6C" w14:paraId="0EAC7BA3" w14:textId="77777777" w:rsidTr="00B76511">
        <w:tc>
          <w:tcPr>
            <w:tcW w:w="1088" w:type="pct"/>
            <w:vAlign w:val="bottom"/>
          </w:tcPr>
          <w:p w14:paraId="64E4BFD4" w14:textId="77777777" w:rsidR="004369F3" w:rsidRPr="005B7F6C" w:rsidRDefault="004369F3" w:rsidP="00B76511">
            <w:pPr>
              <w:pStyle w:val="TableNormal1"/>
              <w:rPr>
                <w:rFonts w:ascii="Times New Roman" w:eastAsia="Times New Roman" w:hAnsi="Times New Roman" w:cs="Times New Roman"/>
                <w:color w:val="000000"/>
                <w:sz w:val="22"/>
                <w:szCs w:val="22"/>
                <w:lang w:val="en-AU" w:eastAsia="en-AU"/>
              </w:rPr>
            </w:pPr>
            <w:r w:rsidRPr="005B7F6C">
              <w:rPr>
                <w:rFonts w:ascii="Times New Roman" w:eastAsia="Times New Roman" w:hAnsi="Times New Roman" w:cs="Times New Roman"/>
                <w:color w:val="000000"/>
                <w:sz w:val="22"/>
                <w:szCs w:val="22"/>
                <w:lang w:val="en-AU" w:eastAsia="en-AU"/>
              </w:rPr>
              <w:t>Number of retouched zones</w:t>
            </w:r>
          </w:p>
        </w:tc>
        <w:tc>
          <w:tcPr>
            <w:tcW w:w="352" w:type="pct"/>
            <w:vAlign w:val="bottom"/>
          </w:tcPr>
          <w:p w14:paraId="36A02140" w14:textId="77777777" w:rsidR="004369F3" w:rsidRPr="005B7F6C" w:rsidRDefault="004369F3" w:rsidP="00B76511">
            <w:pPr>
              <w:pStyle w:val="TableNormal1"/>
              <w:rPr>
                <w:rFonts w:ascii="Times New Roman" w:eastAsia="Times New Roman" w:hAnsi="Times New Roman" w:cs="Times New Roman"/>
                <w:color w:val="000000"/>
                <w:sz w:val="22"/>
                <w:szCs w:val="22"/>
                <w:lang w:val="en-AU" w:eastAsia="en-AU"/>
              </w:rPr>
            </w:pPr>
            <w:r w:rsidRPr="005B7F6C">
              <w:rPr>
                <w:rFonts w:ascii="Times New Roman" w:eastAsia="Times New Roman" w:hAnsi="Times New Roman" w:cs="Times New Roman"/>
                <w:color w:val="000000"/>
                <w:sz w:val="22"/>
                <w:szCs w:val="22"/>
                <w:lang w:val="en-AU" w:eastAsia="en-AU"/>
              </w:rPr>
              <w:t>175</w:t>
            </w:r>
          </w:p>
        </w:tc>
        <w:tc>
          <w:tcPr>
            <w:tcW w:w="423" w:type="pct"/>
            <w:vAlign w:val="bottom"/>
          </w:tcPr>
          <w:p w14:paraId="38286A0B" w14:textId="77777777" w:rsidR="004369F3" w:rsidRPr="005B7F6C" w:rsidRDefault="004369F3" w:rsidP="00B76511">
            <w:pPr>
              <w:pStyle w:val="TableNormal1"/>
              <w:rPr>
                <w:rFonts w:ascii="Times New Roman" w:eastAsia="Times New Roman" w:hAnsi="Times New Roman" w:cs="Times New Roman"/>
                <w:color w:val="000000"/>
                <w:sz w:val="22"/>
                <w:szCs w:val="22"/>
                <w:lang w:val="en-AU" w:eastAsia="en-AU"/>
              </w:rPr>
            </w:pPr>
            <w:r w:rsidRPr="005B7F6C">
              <w:rPr>
                <w:rFonts w:ascii="Times New Roman" w:eastAsia="Times New Roman" w:hAnsi="Times New Roman" w:cs="Times New Roman"/>
                <w:color w:val="000000"/>
                <w:sz w:val="22"/>
                <w:szCs w:val="22"/>
                <w:lang w:val="en-AU" w:eastAsia="en-AU"/>
              </w:rPr>
              <w:t>3.8</w:t>
            </w:r>
          </w:p>
        </w:tc>
        <w:tc>
          <w:tcPr>
            <w:tcW w:w="389" w:type="pct"/>
            <w:vAlign w:val="bottom"/>
          </w:tcPr>
          <w:p w14:paraId="01790104" w14:textId="77777777" w:rsidR="004369F3" w:rsidRPr="005B7F6C" w:rsidRDefault="004369F3" w:rsidP="00B76511">
            <w:pPr>
              <w:pStyle w:val="TableNormal1"/>
              <w:rPr>
                <w:rFonts w:ascii="Times New Roman" w:eastAsia="Times New Roman" w:hAnsi="Times New Roman" w:cs="Times New Roman"/>
                <w:color w:val="000000"/>
                <w:sz w:val="22"/>
                <w:szCs w:val="22"/>
                <w:lang w:val="en-AU" w:eastAsia="en-AU"/>
              </w:rPr>
            </w:pPr>
            <w:r w:rsidRPr="005B7F6C">
              <w:rPr>
                <w:rFonts w:ascii="Times New Roman" w:eastAsia="Times New Roman" w:hAnsi="Times New Roman" w:cs="Times New Roman"/>
                <w:color w:val="000000"/>
                <w:sz w:val="22"/>
                <w:szCs w:val="22"/>
                <w:lang w:val="en-AU" w:eastAsia="en-AU"/>
              </w:rPr>
              <w:t>2.3</w:t>
            </w:r>
          </w:p>
        </w:tc>
        <w:tc>
          <w:tcPr>
            <w:tcW w:w="463" w:type="pct"/>
            <w:vAlign w:val="bottom"/>
          </w:tcPr>
          <w:p w14:paraId="1A28A1D7" w14:textId="77777777" w:rsidR="004369F3" w:rsidRPr="005B7F6C" w:rsidRDefault="004369F3" w:rsidP="00B76511">
            <w:pPr>
              <w:pStyle w:val="TableNormal1"/>
              <w:rPr>
                <w:rFonts w:ascii="Times New Roman" w:eastAsia="Times New Roman" w:hAnsi="Times New Roman" w:cs="Times New Roman"/>
                <w:color w:val="000000"/>
                <w:sz w:val="22"/>
                <w:szCs w:val="22"/>
                <w:lang w:val="en-AU" w:eastAsia="en-AU"/>
              </w:rPr>
            </w:pPr>
            <w:r w:rsidRPr="005B7F6C">
              <w:rPr>
                <w:rFonts w:ascii="Times New Roman" w:eastAsia="Times New Roman" w:hAnsi="Times New Roman" w:cs="Times New Roman"/>
                <w:color w:val="000000"/>
                <w:sz w:val="22"/>
                <w:szCs w:val="22"/>
                <w:lang w:val="en-AU" w:eastAsia="en-AU"/>
              </w:rPr>
              <w:t>3</w:t>
            </w:r>
          </w:p>
        </w:tc>
        <w:tc>
          <w:tcPr>
            <w:tcW w:w="367" w:type="pct"/>
            <w:vAlign w:val="bottom"/>
          </w:tcPr>
          <w:p w14:paraId="23D56F1A" w14:textId="77777777" w:rsidR="004369F3" w:rsidRPr="005B7F6C" w:rsidRDefault="004369F3" w:rsidP="00B76511">
            <w:pPr>
              <w:pStyle w:val="TableNormal1"/>
              <w:rPr>
                <w:rFonts w:ascii="Times New Roman" w:eastAsia="Times New Roman" w:hAnsi="Times New Roman" w:cs="Times New Roman"/>
                <w:color w:val="000000"/>
                <w:sz w:val="22"/>
                <w:szCs w:val="22"/>
                <w:lang w:val="en-AU" w:eastAsia="en-AU"/>
              </w:rPr>
            </w:pPr>
            <w:r w:rsidRPr="005B7F6C">
              <w:rPr>
                <w:rFonts w:ascii="Times New Roman" w:eastAsia="Times New Roman" w:hAnsi="Times New Roman" w:cs="Times New Roman"/>
                <w:color w:val="000000"/>
                <w:sz w:val="22"/>
                <w:szCs w:val="22"/>
                <w:lang w:val="en-AU" w:eastAsia="en-AU"/>
              </w:rPr>
              <w:t>1</w:t>
            </w:r>
          </w:p>
        </w:tc>
        <w:tc>
          <w:tcPr>
            <w:tcW w:w="423" w:type="pct"/>
            <w:vAlign w:val="bottom"/>
          </w:tcPr>
          <w:p w14:paraId="4E140E0D" w14:textId="77777777" w:rsidR="004369F3" w:rsidRPr="005B7F6C" w:rsidRDefault="004369F3" w:rsidP="00B76511">
            <w:pPr>
              <w:pStyle w:val="TableNormal1"/>
              <w:rPr>
                <w:rFonts w:ascii="Times New Roman" w:eastAsia="Times New Roman" w:hAnsi="Times New Roman" w:cs="Times New Roman"/>
                <w:color w:val="000000"/>
                <w:sz w:val="22"/>
                <w:szCs w:val="22"/>
                <w:lang w:val="en-AU" w:eastAsia="en-AU"/>
              </w:rPr>
            </w:pPr>
            <w:r w:rsidRPr="005B7F6C">
              <w:rPr>
                <w:rFonts w:ascii="Times New Roman" w:eastAsia="Times New Roman" w:hAnsi="Times New Roman" w:cs="Times New Roman"/>
                <w:color w:val="000000"/>
                <w:sz w:val="22"/>
                <w:szCs w:val="22"/>
                <w:lang w:val="en-AU" w:eastAsia="en-AU"/>
              </w:rPr>
              <w:t>8</w:t>
            </w:r>
          </w:p>
        </w:tc>
        <w:tc>
          <w:tcPr>
            <w:tcW w:w="310" w:type="pct"/>
            <w:vAlign w:val="bottom"/>
          </w:tcPr>
          <w:p w14:paraId="726BE37F" w14:textId="77777777" w:rsidR="004369F3" w:rsidRPr="005B7F6C" w:rsidRDefault="004369F3" w:rsidP="00B76511">
            <w:pPr>
              <w:pStyle w:val="TableNormal1"/>
              <w:rPr>
                <w:rFonts w:ascii="Times New Roman" w:eastAsia="Times New Roman" w:hAnsi="Times New Roman" w:cs="Times New Roman"/>
                <w:color w:val="000000"/>
                <w:sz w:val="22"/>
                <w:szCs w:val="22"/>
                <w:lang w:val="en-AU" w:eastAsia="en-AU"/>
              </w:rPr>
            </w:pPr>
            <w:r w:rsidRPr="005B7F6C">
              <w:rPr>
                <w:rFonts w:ascii="Times New Roman" w:eastAsia="Times New Roman" w:hAnsi="Times New Roman" w:cs="Times New Roman"/>
                <w:color w:val="000000"/>
                <w:sz w:val="22"/>
                <w:szCs w:val="22"/>
                <w:lang w:val="en-AU" w:eastAsia="en-AU"/>
              </w:rPr>
              <w:t>61.2</w:t>
            </w:r>
          </w:p>
        </w:tc>
        <w:tc>
          <w:tcPr>
            <w:tcW w:w="1184" w:type="pct"/>
            <w:vAlign w:val="bottom"/>
          </w:tcPr>
          <w:p w14:paraId="30036E55" w14:textId="77777777" w:rsidR="004369F3" w:rsidRPr="005B7F6C" w:rsidRDefault="004369F3" w:rsidP="00B76511">
            <w:pPr>
              <w:pStyle w:val="TableNormal1"/>
              <w:rPr>
                <w:rFonts w:ascii="Times New Roman" w:eastAsia="Times New Roman" w:hAnsi="Times New Roman" w:cs="Times New Roman"/>
                <w:color w:val="000000"/>
                <w:sz w:val="22"/>
                <w:szCs w:val="22"/>
                <w:lang w:val="en-AU" w:eastAsia="en-AU"/>
              </w:rPr>
            </w:pPr>
            <w:r w:rsidRPr="005B7F6C">
              <w:rPr>
                <w:rFonts w:ascii="Times New Roman" w:eastAsia="Times New Roman" w:hAnsi="Times New Roman" w:cs="Times New Roman"/>
                <w:color w:val="000000"/>
                <w:sz w:val="22"/>
                <w:szCs w:val="22"/>
                <w:lang w:val="en-AU" w:eastAsia="en-AU"/>
              </w:rPr>
              <w:t>No (W = .894, df  = 175, p = &lt;.001)</w:t>
            </w:r>
          </w:p>
        </w:tc>
      </w:tr>
    </w:tbl>
    <w:p w14:paraId="26FDCD8F" w14:textId="77777777" w:rsidR="00FC0FE0" w:rsidRDefault="00FC0FE0">
      <w:pPr>
        <w:rPr>
          <w:b/>
          <w:bCs/>
          <w:sz w:val="22"/>
          <w:szCs w:val="22"/>
        </w:rPr>
      </w:pPr>
    </w:p>
    <w:p w14:paraId="5FFA98F9" w14:textId="77777777" w:rsidR="00FC0FE0" w:rsidRDefault="00FC0FE0">
      <w:pPr>
        <w:rPr>
          <w:b/>
          <w:bCs/>
          <w:sz w:val="22"/>
          <w:szCs w:val="22"/>
        </w:rPr>
      </w:pPr>
    </w:p>
    <w:p w14:paraId="70AEA1B2" w14:textId="746EF6AF" w:rsidR="00401AED" w:rsidRPr="00465719" w:rsidRDefault="00401AED">
      <w:pPr>
        <w:rPr>
          <w:b/>
          <w:bCs/>
          <w:sz w:val="22"/>
          <w:szCs w:val="22"/>
        </w:rPr>
      </w:pPr>
      <w:r w:rsidRPr="00465719">
        <w:rPr>
          <w:b/>
          <w:bCs/>
          <w:sz w:val="22"/>
          <w:szCs w:val="22"/>
        </w:rPr>
        <w:t>References</w:t>
      </w:r>
    </w:p>
    <w:p w14:paraId="4215A5B5" w14:textId="77777777" w:rsidR="00401AED" w:rsidRPr="00465719" w:rsidRDefault="00401AED">
      <w:pPr>
        <w:rPr>
          <w:sz w:val="22"/>
          <w:szCs w:val="22"/>
        </w:rPr>
      </w:pPr>
    </w:p>
    <w:p w14:paraId="3027223C" w14:textId="77675E61" w:rsidR="00DA0E87" w:rsidRPr="00465719" w:rsidRDefault="00DA0E87" w:rsidP="00DA0E87">
      <w:pPr>
        <w:widowControl w:val="0"/>
        <w:autoSpaceDE w:val="0"/>
        <w:autoSpaceDN w:val="0"/>
        <w:adjustRightInd w:val="0"/>
        <w:ind w:left="480" w:hanging="480"/>
        <w:rPr>
          <w:noProof/>
          <w:sz w:val="22"/>
          <w:szCs w:val="22"/>
        </w:rPr>
      </w:pPr>
      <w:r w:rsidRPr="00465719">
        <w:rPr>
          <w:noProof/>
          <w:sz w:val="22"/>
          <w:szCs w:val="22"/>
        </w:rPr>
        <w:t xml:space="preserve">Cotterell, B., &amp; Kamminga, J. 1987, The formation of flakes. </w:t>
      </w:r>
      <w:r w:rsidRPr="00465719">
        <w:rPr>
          <w:i/>
          <w:iCs/>
          <w:noProof/>
          <w:sz w:val="22"/>
          <w:szCs w:val="22"/>
        </w:rPr>
        <w:t>American Antiquity</w:t>
      </w:r>
      <w:r w:rsidRPr="00465719">
        <w:rPr>
          <w:noProof/>
          <w:sz w:val="22"/>
          <w:szCs w:val="22"/>
        </w:rPr>
        <w:t>, 52(4): 675–708.</w:t>
      </w:r>
    </w:p>
    <w:p w14:paraId="3FD51745" w14:textId="77777777" w:rsidR="00DA0E87" w:rsidRPr="00465719" w:rsidRDefault="00DA0E87" w:rsidP="00DA0E87">
      <w:pPr>
        <w:widowControl w:val="0"/>
        <w:autoSpaceDE w:val="0"/>
        <w:autoSpaceDN w:val="0"/>
        <w:adjustRightInd w:val="0"/>
        <w:ind w:left="480" w:hanging="480"/>
        <w:rPr>
          <w:noProof/>
          <w:sz w:val="22"/>
          <w:szCs w:val="22"/>
        </w:rPr>
      </w:pPr>
    </w:p>
    <w:p w14:paraId="5348E7AF" w14:textId="11E64BD8" w:rsidR="00DA0E87" w:rsidRPr="00465719" w:rsidRDefault="00DA0E87" w:rsidP="00DA0E87">
      <w:pPr>
        <w:widowControl w:val="0"/>
        <w:autoSpaceDE w:val="0"/>
        <w:autoSpaceDN w:val="0"/>
        <w:adjustRightInd w:val="0"/>
        <w:ind w:left="480" w:hanging="480"/>
        <w:rPr>
          <w:noProof/>
          <w:sz w:val="22"/>
          <w:szCs w:val="22"/>
        </w:rPr>
      </w:pPr>
      <w:r w:rsidRPr="00465719">
        <w:rPr>
          <w:noProof/>
          <w:sz w:val="22"/>
          <w:szCs w:val="22"/>
        </w:rPr>
        <w:t xml:space="preserve">Eren, M.I., Greenspan, A., &amp; Sampson, C.G. 2008, Are Upper Paleolithic blade cores more productive than Middle Paleolithic discoidal cores? A replication experiment. </w:t>
      </w:r>
      <w:r w:rsidRPr="005E2044">
        <w:rPr>
          <w:i/>
          <w:iCs/>
          <w:noProof/>
          <w:sz w:val="22"/>
          <w:szCs w:val="22"/>
        </w:rPr>
        <w:t>Journal of Human Evolution</w:t>
      </w:r>
      <w:r w:rsidRPr="00465719">
        <w:rPr>
          <w:noProof/>
          <w:sz w:val="22"/>
          <w:szCs w:val="22"/>
        </w:rPr>
        <w:t>, 55: 952-961.</w:t>
      </w:r>
    </w:p>
    <w:p w14:paraId="27B85066" w14:textId="77777777" w:rsidR="00DA0E87" w:rsidRPr="00465719" w:rsidRDefault="00DA0E87" w:rsidP="00D56B28">
      <w:pPr>
        <w:rPr>
          <w:sz w:val="22"/>
          <w:szCs w:val="22"/>
          <w:lang w:eastAsia="en-GB"/>
        </w:rPr>
      </w:pPr>
    </w:p>
    <w:p w14:paraId="1FFE3322" w14:textId="77777777" w:rsidR="00EB22B4" w:rsidRDefault="00E92ACD" w:rsidP="00B10012">
      <w:pPr>
        <w:rPr>
          <w:sz w:val="22"/>
          <w:szCs w:val="22"/>
          <w:lang w:eastAsia="en-GB"/>
        </w:rPr>
      </w:pPr>
      <w:r w:rsidRPr="00465719">
        <w:rPr>
          <w:sz w:val="22"/>
          <w:szCs w:val="22"/>
          <w:lang w:eastAsia="en-GB"/>
        </w:rPr>
        <w:t>Hiscock, P., &amp; Attenbrow, V. 200</w:t>
      </w:r>
      <w:r w:rsidR="00B10012">
        <w:rPr>
          <w:sz w:val="22"/>
          <w:szCs w:val="22"/>
          <w:lang w:eastAsia="en-GB"/>
        </w:rPr>
        <w:t>2</w:t>
      </w:r>
      <w:r w:rsidRPr="00465719">
        <w:rPr>
          <w:sz w:val="22"/>
          <w:szCs w:val="22"/>
          <w:lang w:eastAsia="en-GB"/>
        </w:rPr>
        <w:t>,</w:t>
      </w:r>
      <w:r w:rsidR="00B10012">
        <w:rPr>
          <w:sz w:val="22"/>
          <w:szCs w:val="22"/>
          <w:lang w:eastAsia="en-GB"/>
        </w:rPr>
        <w:t xml:space="preserve"> Morphological and re</w:t>
      </w:r>
      <w:r w:rsidR="005448A3">
        <w:rPr>
          <w:sz w:val="22"/>
          <w:szCs w:val="22"/>
          <w:lang w:eastAsia="en-GB"/>
        </w:rPr>
        <w:t xml:space="preserve">duction continuums in eastern Australia: </w:t>
      </w:r>
    </w:p>
    <w:p w14:paraId="2F9CD07A" w14:textId="48091883" w:rsidR="00B10012" w:rsidRPr="00465719" w:rsidRDefault="005448A3" w:rsidP="00EB22B4">
      <w:pPr>
        <w:ind w:left="720"/>
        <w:rPr>
          <w:sz w:val="22"/>
          <w:szCs w:val="22"/>
          <w:lang w:eastAsia="en-GB"/>
        </w:rPr>
      </w:pPr>
      <w:r>
        <w:rPr>
          <w:sz w:val="22"/>
          <w:szCs w:val="22"/>
          <w:lang w:eastAsia="en-GB"/>
        </w:rPr>
        <w:t>measurement and implications at Capertee 3</w:t>
      </w:r>
      <w:r w:rsidR="00EB22B4">
        <w:rPr>
          <w:sz w:val="22"/>
          <w:szCs w:val="22"/>
          <w:lang w:eastAsia="en-GB"/>
        </w:rPr>
        <w:t>. In:</w:t>
      </w:r>
      <w:r w:rsidR="00EB22B4" w:rsidRPr="00EB22B4">
        <w:rPr>
          <w:sz w:val="22"/>
          <w:szCs w:val="22"/>
          <w:lang w:eastAsia="en-GB"/>
        </w:rPr>
        <w:t xml:space="preserve"> </w:t>
      </w:r>
      <w:r w:rsidR="00EB22B4" w:rsidRPr="00EB22B4">
        <w:rPr>
          <w:i/>
          <w:iCs/>
          <w:sz w:val="22"/>
          <w:szCs w:val="22"/>
          <w:lang w:eastAsia="en-GB"/>
        </w:rPr>
        <w:t>Barriers, borders, boundaries: proceedings of the 2001 Australian Archaeological Association annual conference</w:t>
      </w:r>
      <w:r w:rsidR="00EB22B4" w:rsidRPr="00EB22B4">
        <w:rPr>
          <w:sz w:val="22"/>
          <w:szCs w:val="22"/>
          <w:lang w:eastAsia="en-GB"/>
        </w:rPr>
        <w:t xml:space="preserve"> (Ulm, S., Westcott, C., Reid, J., Ross, A., Lilley, I., Prangnell, J. &amp; Kirkwood, L., Eds.), Tempus 7. Anthropology Museum, University of Queensland, Brisbane: p. 167-174.</w:t>
      </w:r>
    </w:p>
    <w:p w14:paraId="46B8923E" w14:textId="77777777" w:rsidR="00E92ACD" w:rsidRDefault="00E92ACD" w:rsidP="00D56B28">
      <w:pPr>
        <w:rPr>
          <w:sz w:val="22"/>
          <w:szCs w:val="22"/>
          <w:lang w:eastAsia="en-GB"/>
        </w:rPr>
      </w:pPr>
    </w:p>
    <w:p w14:paraId="623D1062" w14:textId="37EE2970" w:rsidR="00D56B28" w:rsidRPr="00465719" w:rsidRDefault="00D56B28" w:rsidP="00D56B28">
      <w:pPr>
        <w:rPr>
          <w:sz w:val="22"/>
          <w:szCs w:val="22"/>
          <w:lang w:eastAsia="en-GB"/>
        </w:rPr>
      </w:pPr>
      <w:r w:rsidRPr="00465719">
        <w:rPr>
          <w:sz w:val="22"/>
          <w:szCs w:val="22"/>
          <w:lang w:eastAsia="en-GB"/>
        </w:rPr>
        <w:t xml:space="preserve">Hiscock, P., &amp; Attenbrow, V. 2003, Early Australian implement variation: A reduction </w:t>
      </w:r>
    </w:p>
    <w:p w14:paraId="5BAA674D" w14:textId="77777777" w:rsidR="00D56B28" w:rsidRPr="00465719" w:rsidRDefault="00D56B28" w:rsidP="00D56B28">
      <w:pPr>
        <w:ind w:left="720"/>
        <w:rPr>
          <w:sz w:val="22"/>
          <w:szCs w:val="22"/>
          <w:lang w:eastAsia="en-GB"/>
        </w:rPr>
      </w:pPr>
      <w:r w:rsidRPr="00465719">
        <w:rPr>
          <w:sz w:val="22"/>
          <w:szCs w:val="22"/>
          <w:lang w:eastAsia="en-GB"/>
        </w:rPr>
        <w:t xml:space="preserve">model. </w:t>
      </w:r>
      <w:r w:rsidRPr="00465719">
        <w:rPr>
          <w:i/>
          <w:iCs/>
          <w:sz w:val="22"/>
          <w:szCs w:val="22"/>
          <w:lang w:eastAsia="en-GB"/>
        </w:rPr>
        <w:t>Journal of Archaeological Science</w:t>
      </w:r>
      <w:r w:rsidRPr="00465719">
        <w:rPr>
          <w:sz w:val="22"/>
          <w:szCs w:val="22"/>
          <w:lang w:eastAsia="en-GB"/>
        </w:rPr>
        <w:t xml:space="preserve">, 30(2): 239–249. </w:t>
      </w:r>
    </w:p>
    <w:p w14:paraId="3349DDCC" w14:textId="77777777" w:rsidR="00D56B28" w:rsidRPr="00465719" w:rsidRDefault="00D56B28" w:rsidP="00D56B28">
      <w:pPr>
        <w:rPr>
          <w:sz w:val="22"/>
          <w:szCs w:val="22"/>
          <w:lang w:eastAsia="en-GB"/>
        </w:rPr>
      </w:pPr>
    </w:p>
    <w:p w14:paraId="33CEB95F" w14:textId="77777777" w:rsidR="00D56B28" w:rsidRPr="00465719" w:rsidRDefault="00D56B28" w:rsidP="00D56B28">
      <w:pPr>
        <w:rPr>
          <w:sz w:val="22"/>
          <w:szCs w:val="22"/>
          <w:lang w:eastAsia="en-GB"/>
        </w:rPr>
      </w:pPr>
      <w:r w:rsidRPr="00465719">
        <w:rPr>
          <w:sz w:val="22"/>
          <w:szCs w:val="22"/>
          <w:lang w:eastAsia="en-GB"/>
        </w:rPr>
        <w:t xml:space="preserve">Hiscock, P., &amp; Attenbrow, V. 2005, Australia’s Eastern Regional Sequence revisited: </w:t>
      </w:r>
    </w:p>
    <w:p w14:paraId="34BE66EE" w14:textId="77777777" w:rsidR="0058205B" w:rsidRPr="00465719" w:rsidRDefault="00D56B28" w:rsidP="0058205B">
      <w:pPr>
        <w:ind w:left="720"/>
        <w:rPr>
          <w:sz w:val="22"/>
          <w:szCs w:val="22"/>
          <w:lang w:eastAsia="en-GB"/>
        </w:rPr>
      </w:pPr>
      <w:r w:rsidRPr="00465719">
        <w:rPr>
          <w:sz w:val="22"/>
          <w:szCs w:val="22"/>
          <w:lang w:eastAsia="en-GB"/>
        </w:rPr>
        <w:t>technology and change at Capertee 3, BAR International Series 1397. Archaeopress, Oxford.</w:t>
      </w:r>
    </w:p>
    <w:p w14:paraId="3532AD43" w14:textId="77777777" w:rsidR="0058205B" w:rsidRPr="00465719" w:rsidRDefault="0058205B" w:rsidP="0058205B">
      <w:pPr>
        <w:rPr>
          <w:sz w:val="22"/>
          <w:szCs w:val="22"/>
          <w:lang w:eastAsia="en-GB"/>
        </w:rPr>
      </w:pPr>
    </w:p>
    <w:p w14:paraId="4D7EE3C3" w14:textId="77777777" w:rsidR="0058205B" w:rsidRPr="00465719" w:rsidRDefault="0058205B" w:rsidP="0058205B">
      <w:pPr>
        <w:rPr>
          <w:i/>
          <w:iCs/>
          <w:sz w:val="22"/>
          <w:szCs w:val="22"/>
          <w:lang w:eastAsia="en-GB"/>
        </w:rPr>
      </w:pPr>
      <w:r w:rsidRPr="00465719">
        <w:rPr>
          <w:sz w:val="22"/>
          <w:szCs w:val="22"/>
          <w:lang w:eastAsia="en-GB"/>
        </w:rPr>
        <w:t xml:space="preserve">Kuhn, S.L., 1990. A geometric index of reduction for unifacial stone tools. </w:t>
      </w:r>
      <w:r w:rsidRPr="00465719">
        <w:rPr>
          <w:i/>
          <w:iCs/>
          <w:sz w:val="22"/>
          <w:szCs w:val="22"/>
          <w:lang w:eastAsia="en-GB"/>
        </w:rPr>
        <w:t xml:space="preserve">Journal of </w:t>
      </w:r>
    </w:p>
    <w:p w14:paraId="0BFDF936" w14:textId="4BA32994" w:rsidR="0058205B" w:rsidRPr="00465719" w:rsidRDefault="0058205B" w:rsidP="0058205B">
      <w:pPr>
        <w:ind w:firstLine="720"/>
        <w:rPr>
          <w:sz w:val="22"/>
          <w:szCs w:val="22"/>
          <w:lang w:eastAsia="en-GB"/>
        </w:rPr>
      </w:pPr>
      <w:r w:rsidRPr="00465719">
        <w:rPr>
          <w:i/>
          <w:iCs/>
          <w:sz w:val="22"/>
          <w:szCs w:val="22"/>
          <w:lang w:eastAsia="en-GB"/>
        </w:rPr>
        <w:t>Archaeological Science</w:t>
      </w:r>
      <w:r w:rsidRPr="00465719">
        <w:rPr>
          <w:sz w:val="22"/>
          <w:szCs w:val="22"/>
          <w:lang w:eastAsia="en-GB"/>
        </w:rPr>
        <w:t>, 17: 583-593.</w:t>
      </w:r>
    </w:p>
    <w:p w14:paraId="219862EE" w14:textId="77777777" w:rsidR="0058205B" w:rsidRPr="00465719" w:rsidRDefault="0058205B">
      <w:pPr>
        <w:rPr>
          <w:sz w:val="22"/>
          <w:szCs w:val="22"/>
        </w:rPr>
      </w:pPr>
    </w:p>
    <w:p w14:paraId="3EC1664E" w14:textId="77777777" w:rsidR="00DA0E87" w:rsidRPr="00465719" w:rsidRDefault="00DA0E87" w:rsidP="00DA0E87">
      <w:pPr>
        <w:rPr>
          <w:i/>
          <w:iCs/>
          <w:sz w:val="22"/>
          <w:szCs w:val="22"/>
          <w:lang w:eastAsia="en-GB"/>
        </w:rPr>
      </w:pPr>
      <w:r w:rsidRPr="00465719">
        <w:rPr>
          <w:sz w:val="22"/>
          <w:szCs w:val="22"/>
          <w:lang w:eastAsia="en-GB"/>
        </w:rPr>
        <w:lastRenderedPageBreak/>
        <w:t xml:space="preserve">Macgregor, O. J. 2005, Abrupt terminations and stone artefact reduction potential. In: </w:t>
      </w:r>
      <w:r w:rsidRPr="00465719">
        <w:rPr>
          <w:i/>
          <w:iCs/>
          <w:sz w:val="22"/>
          <w:szCs w:val="22"/>
          <w:lang w:eastAsia="en-GB"/>
        </w:rPr>
        <w:t xml:space="preserve">Lithics </w:t>
      </w:r>
    </w:p>
    <w:p w14:paraId="5E52FB43" w14:textId="64983FE2" w:rsidR="00401AED" w:rsidRDefault="00DA0E87" w:rsidP="003C4925">
      <w:pPr>
        <w:ind w:left="720"/>
      </w:pPr>
      <w:r w:rsidRPr="00465719">
        <w:rPr>
          <w:i/>
          <w:iCs/>
          <w:sz w:val="22"/>
          <w:szCs w:val="22"/>
          <w:lang w:eastAsia="en-GB"/>
        </w:rPr>
        <w:t>“Down Under”: Australian approaches to lithic reduction, use and classification</w:t>
      </w:r>
      <w:r w:rsidRPr="00465719">
        <w:rPr>
          <w:sz w:val="22"/>
          <w:szCs w:val="22"/>
          <w:lang w:eastAsia="en-GB"/>
        </w:rPr>
        <w:t xml:space="preserve"> (Clarkson, C. &amp; Lamb, L., Eds.), BAR International Series 1408. Archaeopress, Oxford: p. 57–65.</w:t>
      </w:r>
    </w:p>
    <w:p w14:paraId="72B4FAB8" w14:textId="77777777" w:rsidR="00401AED" w:rsidRDefault="00401AED"/>
    <w:sectPr w:rsidR="00401A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E6"/>
    <w:rsid w:val="000C2FDC"/>
    <w:rsid w:val="001F15ED"/>
    <w:rsid w:val="003C4925"/>
    <w:rsid w:val="004012E6"/>
    <w:rsid w:val="00401AED"/>
    <w:rsid w:val="004369F3"/>
    <w:rsid w:val="004602F2"/>
    <w:rsid w:val="00465719"/>
    <w:rsid w:val="004D6D3D"/>
    <w:rsid w:val="005448A3"/>
    <w:rsid w:val="0058205B"/>
    <w:rsid w:val="005B7F6C"/>
    <w:rsid w:val="005E2044"/>
    <w:rsid w:val="00704350"/>
    <w:rsid w:val="007D5150"/>
    <w:rsid w:val="007E26A0"/>
    <w:rsid w:val="008630C1"/>
    <w:rsid w:val="00A01035"/>
    <w:rsid w:val="00A337FD"/>
    <w:rsid w:val="00B10012"/>
    <w:rsid w:val="00BA5434"/>
    <w:rsid w:val="00BA74BE"/>
    <w:rsid w:val="00D12684"/>
    <w:rsid w:val="00D56B28"/>
    <w:rsid w:val="00D707BF"/>
    <w:rsid w:val="00DA0E87"/>
    <w:rsid w:val="00DF5AAA"/>
    <w:rsid w:val="00E733F7"/>
    <w:rsid w:val="00E92ACD"/>
    <w:rsid w:val="00EB22B4"/>
    <w:rsid w:val="00EC133B"/>
    <w:rsid w:val="00FC0F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AA79E"/>
  <w15:chartTrackingRefBased/>
  <w15:docId w15:val="{AF30E21D-12C4-4A35-911F-ADF05CDA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2E6"/>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3"/>
    <w:qFormat/>
    <w:rsid w:val="004012E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4012E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4012E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4012E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AU"/>
      <w14:ligatures w14:val="standardContextual"/>
    </w:rPr>
  </w:style>
  <w:style w:type="paragraph" w:styleId="Heading5">
    <w:name w:val="heading 5"/>
    <w:basedOn w:val="Normal"/>
    <w:next w:val="Normal"/>
    <w:link w:val="Heading5Char"/>
    <w:uiPriority w:val="9"/>
    <w:semiHidden/>
    <w:unhideWhenUsed/>
    <w:qFormat/>
    <w:rsid w:val="004012E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AU"/>
      <w14:ligatures w14:val="standardContextual"/>
    </w:rPr>
  </w:style>
  <w:style w:type="paragraph" w:styleId="Heading6">
    <w:name w:val="heading 6"/>
    <w:basedOn w:val="Normal"/>
    <w:next w:val="Normal"/>
    <w:link w:val="Heading6Char"/>
    <w:uiPriority w:val="9"/>
    <w:semiHidden/>
    <w:unhideWhenUsed/>
    <w:qFormat/>
    <w:rsid w:val="004012E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AU"/>
      <w14:ligatures w14:val="standardContextual"/>
    </w:rPr>
  </w:style>
  <w:style w:type="paragraph" w:styleId="Heading7">
    <w:name w:val="heading 7"/>
    <w:basedOn w:val="Normal"/>
    <w:next w:val="Normal"/>
    <w:link w:val="Heading7Char"/>
    <w:uiPriority w:val="9"/>
    <w:semiHidden/>
    <w:unhideWhenUsed/>
    <w:qFormat/>
    <w:rsid w:val="004012E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AU"/>
      <w14:ligatures w14:val="standardContextual"/>
    </w:rPr>
  </w:style>
  <w:style w:type="paragraph" w:styleId="Heading8">
    <w:name w:val="heading 8"/>
    <w:basedOn w:val="Normal"/>
    <w:next w:val="Normal"/>
    <w:link w:val="Heading8Char"/>
    <w:uiPriority w:val="9"/>
    <w:semiHidden/>
    <w:unhideWhenUsed/>
    <w:qFormat/>
    <w:rsid w:val="004012E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AU"/>
      <w14:ligatures w14:val="standardContextual"/>
    </w:rPr>
  </w:style>
  <w:style w:type="paragraph" w:styleId="Heading9">
    <w:name w:val="heading 9"/>
    <w:basedOn w:val="Normal"/>
    <w:next w:val="Normal"/>
    <w:link w:val="Heading9Char"/>
    <w:uiPriority w:val="9"/>
    <w:semiHidden/>
    <w:unhideWhenUsed/>
    <w:qFormat/>
    <w:rsid w:val="004012E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01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2E6"/>
    <w:rPr>
      <w:rFonts w:eastAsiaTheme="majorEastAsia" w:cstheme="majorBidi"/>
      <w:color w:val="272727" w:themeColor="text1" w:themeTint="D8"/>
    </w:rPr>
  </w:style>
  <w:style w:type="paragraph" w:styleId="Title">
    <w:name w:val="Title"/>
    <w:basedOn w:val="Normal"/>
    <w:next w:val="Normal"/>
    <w:link w:val="TitleChar"/>
    <w:uiPriority w:val="10"/>
    <w:qFormat/>
    <w:rsid w:val="004012E6"/>
    <w:pPr>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401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2E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401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2E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AU"/>
      <w14:ligatures w14:val="standardContextual"/>
    </w:rPr>
  </w:style>
  <w:style w:type="character" w:customStyle="1" w:styleId="QuoteChar">
    <w:name w:val="Quote Char"/>
    <w:basedOn w:val="DefaultParagraphFont"/>
    <w:link w:val="Quote"/>
    <w:uiPriority w:val="29"/>
    <w:rsid w:val="004012E6"/>
    <w:rPr>
      <w:i/>
      <w:iCs/>
      <w:color w:val="404040" w:themeColor="text1" w:themeTint="BF"/>
    </w:rPr>
  </w:style>
  <w:style w:type="paragraph" w:styleId="ListParagraph">
    <w:name w:val="List Paragraph"/>
    <w:basedOn w:val="Normal"/>
    <w:uiPriority w:val="34"/>
    <w:qFormat/>
    <w:rsid w:val="004012E6"/>
    <w:pPr>
      <w:spacing w:after="160" w:line="259" w:lineRule="auto"/>
      <w:ind w:left="720"/>
      <w:contextualSpacing/>
    </w:pPr>
    <w:rPr>
      <w:rFonts w:asciiTheme="minorHAnsi" w:eastAsiaTheme="minorHAnsi" w:hAnsiTheme="minorHAnsi" w:cstheme="minorBidi"/>
      <w:kern w:val="2"/>
      <w:sz w:val="22"/>
      <w:szCs w:val="22"/>
      <w:lang w:val="en-AU"/>
      <w14:ligatures w14:val="standardContextual"/>
    </w:rPr>
  </w:style>
  <w:style w:type="character" w:styleId="IntenseEmphasis">
    <w:name w:val="Intense Emphasis"/>
    <w:basedOn w:val="DefaultParagraphFont"/>
    <w:uiPriority w:val="21"/>
    <w:qFormat/>
    <w:rsid w:val="004012E6"/>
    <w:rPr>
      <w:i/>
      <w:iCs/>
      <w:color w:val="0F4761" w:themeColor="accent1" w:themeShade="BF"/>
    </w:rPr>
  </w:style>
  <w:style w:type="paragraph" w:styleId="IntenseQuote">
    <w:name w:val="Intense Quote"/>
    <w:basedOn w:val="Normal"/>
    <w:next w:val="Normal"/>
    <w:link w:val="IntenseQuoteChar"/>
    <w:uiPriority w:val="30"/>
    <w:qFormat/>
    <w:rsid w:val="004012E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AU"/>
      <w14:ligatures w14:val="standardContextual"/>
    </w:rPr>
  </w:style>
  <w:style w:type="character" w:customStyle="1" w:styleId="IntenseQuoteChar">
    <w:name w:val="Intense Quote Char"/>
    <w:basedOn w:val="DefaultParagraphFont"/>
    <w:link w:val="IntenseQuote"/>
    <w:uiPriority w:val="30"/>
    <w:rsid w:val="004012E6"/>
    <w:rPr>
      <w:i/>
      <w:iCs/>
      <w:color w:val="0F4761" w:themeColor="accent1" w:themeShade="BF"/>
    </w:rPr>
  </w:style>
  <w:style w:type="character" w:styleId="IntenseReference">
    <w:name w:val="Intense Reference"/>
    <w:basedOn w:val="DefaultParagraphFont"/>
    <w:uiPriority w:val="32"/>
    <w:qFormat/>
    <w:rsid w:val="004012E6"/>
    <w:rPr>
      <w:b/>
      <w:bCs/>
      <w:smallCaps/>
      <w:color w:val="0F4761" w:themeColor="accent1" w:themeShade="BF"/>
      <w:spacing w:val="5"/>
    </w:rPr>
  </w:style>
  <w:style w:type="paragraph" w:customStyle="1" w:styleId="TableNormal1">
    <w:name w:val="Table Normal1"/>
    <w:basedOn w:val="Normal"/>
    <w:uiPriority w:val="6"/>
    <w:qFormat/>
    <w:rsid w:val="00FC0FE0"/>
    <w:pPr>
      <w:keepNext/>
    </w:pPr>
    <w:rPr>
      <w:rFonts w:ascii="Calibri" w:eastAsia="Calibri" w:hAnsi="Calibri" w:cs="Arial"/>
    </w:rPr>
  </w:style>
  <w:style w:type="paragraph" w:styleId="Revision">
    <w:name w:val="Revision"/>
    <w:hidden/>
    <w:uiPriority w:val="99"/>
    <w:semiHidden/>
    <w:rsid w:val="004369F3"/>
    <w:pPr>
      <w:spacing w:after="0" w:line="240" w:lineRule="auto"/>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97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DE060-D58C-4316-A329-0276E2AC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McLaren, Andrew</dc:creator>
  <cp:keywords/>
  <dc:description/>
  <cp:lastModifiedBy>McLaren, Andrew</cp:lastModifiedBy>
  <cp:revision>20</cp:revision>
  <dcterms:created xsi:type="dcterms:W3CDTF">2024-12-11T01:26:00Z</dcterms:created>
  <dcterms:modified xsi:type="dcterms:W3CDTF">2025-09-05T04:16:00Z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e6a1cd24-349f-3512-ad02-617c888983c6</vt:lpwstr>
  </property>
  <property fmtid="{D5CDD505-2E9C-101B-9397-08002B2CF9AE}" pid="4" name="Mendeley Citation Style_1">
    <vt:lpwstr>http://www.zotero.org/styles/apa</vt:lpwstr>
  </property>
</Properties>
</file>